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A5464" w14:textId="402388E5" w:rsidR="00004C39" w:rsidRDefault="00004C39">
      <w:r>
        <w:rPr>
          <w:noProof/>
        </w:rPr>
        <w:drawing>
          <wp:inline distT="0" distB="0" distL="0" distR="0" wp14:anchorId="2E479AC0" wp14:editId="04A2373D">
            <wp:extent cx="5943600" cy="1337310"/>
            <wp:effectExtent l="0" t="0" r="0" b="0"/>
            <wp:docPr id="1098957001" name="Picture 1" descr="A black background with blue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957001" name="Picture 1" descr="A black background with blue and orange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09CF4" w14:textId="4DF99CCD" w:rsidR="005E2B06" w:rsidRPr="005E2B06" w:rsidRDefault="005E2B06">
      <w:pPr>
        <w:rPr>
          <w:b/>
          <w:bCs/>
        </w:rPr>
      </w:pPr>
      <w:proofErr w:type="gramStart"/>
      <w:r w:rsidRPr="005E2B06">
        <w:rPr>
          <w:b/>
          <w:bCs/>
        </w:rPr>
        <w:t>How</w:t>
      </w:r>
      <w:proofErr w:type="gramEnd"/>
      <w:r w:rsidRPr="005E2B06">
        <w:rPr>
          <w:b/>
          <w:bCs/>
        </w:rPr>
        <w:t xml:space="preserve"> Progressive State Attorneys General have Protected Citizens’ Right to Vote in the 2024 Election</w:t>
      </w:r>
    </w:p>
    <w:p w14:paraId="430D74B9" w14:textId="257D8291" w:rsidR="01387959" w:rsidRDefault="01387959"/>
    <w:p w14:paraId="419F1A69" w14:textId="1C234535" w:rsidR="15D80656" w:rsidRDefault="2003AA4E">
      <w:r>
        <w:t xml:space="preserve">Across the country, progressive state attorneys general </w:t>
      </w:r>
      <w:r w:rsidR="2D6A3744">
        <w:t xml:space="preserve">(AGs) </w:t>
      </w:r>
      <w:r>
        <w:t>have been leading the charge to protect every eligible citizen’s right to cast a ballot</w:t>
      </w:r>
      <w:r w:rsidR="67818D8A">
        <w:t xml:space="preserve"> and have their votes counted, from the </w:t>
      </w:r>
      <w:r w:rsidR="38D35808">
        <w:t>courtroom</w:t>
      </w:r>
      <w:r w:rsidR="67818D8A">
        <w:t xml:space="preserve"> to the court of public opinion. </w:t>
      </w:r>
      <w:r w:rsidR="4AF7989A">
        <w:t>Along the way, these leaders have scor</w:t>
      </w:r>
      <w:r w:rsidR="2E3F92F1">
        <w:t>ed</w:t>
      </w:r>
      <w:r w:rsidR="4AF7989A">
        <w:t xml:space="preserve"> important victories for voters. </w:t>
      </w:r>
    </w:p>
    <w:p w14:paraId="213F688A" w14:textId="03BFF057" w:rsidR="08011A00" w:rsidRDefault="77FB35C2" w:rsidP="01387959">
      <w:pPr>
        <w:pStyle w:val="ListParagraph"/>
        <w:numPr>
          <w:ilvl w:val="0"/>
          <w:numId w:val="1"/>
        </w:numPr>
      </w:pPr>
      <w:r>
        <w:t xml:space="preserve">In </w:t>
      </w:r>
      <w:r w:rsidRPr="4C29F5CA">
        <w:rPr>
          <w:b/>
          <w:bCs/>
        </w:rPr>
        <w:t>Nevada</w:t>
      </w:r>
      <w:r>
        <w:t xml:space="preserve">, AG Aaron Ford defeated efforts to remove thousands of eligible voters from the voter </w:t>
      </w:r>
      <w:proofErr w:type="gramStart"/>
      <w:r>
        <w:t>rolls, and</w:t>
      </w:r>
      <w:proofErr w:type="gramEnd"/>
      <w:r>
        <w:t xml:space="preserve"> protected the right of voters to have their absentee ballots counted as long as they arrived in time</w:t>
      </w:r>
      <w:r w:rsidR="7E636D50">
        <w:t>.</w:t>
      </w:r>
      <w:r w:rsidR="1613B33A">
        <w:t xml:space="preserve"> </w:t>
      </w:r>
    </w:p>
    <w:p w14:paraId="1B176D54" w14:textId="100B0940" w:rsidR="08011A00" w:rsidRDefault="6AF5C01E" w:rsidP="4C29F5CA">
      <w:pPr>
        <w:pStyle w:val="ListParagraph"/>
        <w:numPr>
          <w:ilvl w:val="1"/>
          <w:numId w:val="1"/>
        </w:numPr>
      </w:pPr>
      <w:r>
        <w:t xml:space="preserve">Challenges to voter rolls </w:t>
      </w:r>
      <w:r w:rsidR="2FAEB9D6">
        <w:t>under the National Voter Registration Act</w:t>
      </w:r>
      <w:r w:rsidR="0CF418A3">
        <w:t xml:space="preserve"> (NVRA)</w:t>
      </w:r>
      <w:r w:rsidR="2FAEB9D6">
        <w:t xml:space="preserve"> have been </w:t>
      </w:r>
      <w:r w:rsidR="14D0920D">
        <w:t>filed</w:t>
      </w:r>
      <w:r w:rsidR="2FAEB9D6">
        <w:t xml:space="preserve"> </w:t>
      </w:r>
      <w:r w:rsidR="40E1D68E">
        <w:t xml:space="preserve">in states </w:t>
      </w:r>
      <w:r w:rsidR="2FAEB9D6">
        <w:t>across the country</w:t>
      </w:r>
      <w:r w:rsidR="2B09F23F">
        <w:t xml:space="preserve">, and Nevada is no exception . </w:t>
      </w:r>
      <w:r w:rsidR="7B624C02">
        <w:t>AG Ford secur</w:t>
      </w:r>
      <w:r w:rsidR="2695D18C">
        <w:t>ed</w:t>
      </w:r>
      <w:r w:rsidR="7B624C02">
        <w:t xml:space="preserve"> a dismissal of the</w:t>
      </w:r>
      <w:r w:rsidR="69C081DB">
        <w:t xml:space="preserve"> Republican National Committee (RNC) suit against Nevada Secretary of State Francisco Aguilar</w:t>
      </w:r>
      <w:r w:rsidR="78653153">
        <w:t xml:space="preserve"> </w:t>
      </w:r>
      <w:r w:rsidR="6C548E7B">
        <w:t xml:space="preserve">that alleged that </w:t>
      </w:r>
      <w:r w:rsidR="79A75B78">
        <w:t>Nevada’s voter list maintenance was inadequate under the NVRA.</w:t>
      </w:r>
      <w:r w:rsidR="08011A00" w:rsidRPr="4C29F5CA">
        <w:rPr>
          <w:rStyle w:val="FootnoteReference"/>
        </w:rPr>
        <w:footnoteReference w:id="1"/>
      </w:r>
      <w:r w:rsidR="0F68148B">
        <w:t xml:space="preserve"> </w:t>
      </w:r>
      <w:r w:rsidR="4E7B4482">
        <w:t>T</w:t>
      </w:r>
      <w:r w:rsidR="0F68148B">
        <w:t xml:space="preserve">his </w:t>
      </w:r>
      <w:r w:rsidR="18DFF18C">
        <w:t xml:space="preserve">dismissal was only the first act in a much longer </w:t>
      </w:r>
      <w:r w:rsidR="6EF29DE0">
        <w:t>fight to protect voters from being purged inappropriately from their state voter rolls</w:t>
      </w:r>
      <w:r w:rsidR="60DF201A">
        <w:t>. T</w:t>
      </w:r>
      <w:r w:rsidR="18DFF18C">
        <w:t>he RNC has already</w:t>
      </w:r>
      <w:r w:rsidR="438AE51A">
        <w:t xml:space="preserve"> filed a new amended complaint.</w:t>
      </w:r>
      <w:r w:rsidR="08011A00" w:rsidRPr="4C29F5CA">
        <w:rPr>
          <w:rStyle w:val="FootnoteReference"/>
        </w:rPr>
        <w:footnoteReference w:id="2"/>
      </w:r>
      <w:r w:rsidR="33DC68ED">
        <w:t xml:space="preserve"> </w:t>
      </w:r>
      <w:r w:rsidR="79A75B78">
        <w:t xml:space="preserve">  </w:t>
      </w:r>
    </w:p>
    <w:p w14:paraId="7C3D8FB4" w14:textId="79B60C3E" w:rsidR="08011A00" w:rsidRDefault="1613B33A" w:rsidP="4C29F5CA">
      <w:pPr>
        <w:pStyle w:val="ListParagraph"/>
        <w:numPr>
          <w:ilvl w:val="1"/>
          <w:numId w:val="1"/>
        </w:numPr>
      </w:pPr>
      <w:r>
        <w:t>The R</w:t>
      </w:r>
      <w:r w:rsidR="52C82FA4">
        <w:t>NC also</w:t>
      </w:r>
      <w:r>
        <w:t xml:space="preserve"> filed suit to prevent </w:t>
      </w:r>
      <w:r w:rsidR="1ECD41D6">
        <w:t>Nevada</w:t>
      </w:r>
      <w:r>
        <w:t xml:space="preserve"> from counting absentee ballots that arrived within three days of the election via mail but without a postmark</w:t>
      </w:r>
      <w:r w:rsidR="1EBE108E">
        <w:t>, in the same manner that state law requires ballots with an i</w:t>
      </w:r>
      <w:r w:rsidR="6C9E08A4">
        <w:t>ndeterminate</w:t>
      </w:r>
      <w:r w:rsidR="1EBE108E">
        <w:t xml:space="preserve"> postmark to be counted. </w:t>
      </w:r>
      <w:r w:rsidR="3C0CF589">
        <w:t>Th</w:t>
      </w:r>
      <w:r w:rsidR="6781A7A9">
        <w:t>e state Supreme Court’s</w:t>
      </w:r>
      <w:r w:rsidR="3C0CF589">
        <w:t xml:space="preserve"> ruling ensure</w:t>
      </w:r>
      <w:r w:rsidR="3C6FBA80">
        <w:t>s</w:t>
      </w:r>
      <w:r w:rsidR="3C0CF589">
        <w:t xml:space="preserve"> that ballots would not be </w:t>
      </w:r>
      <w:r w:rsidR="5E8C48A4">
        <w:t>unnecessarily rejected</w:t>
      </w:r>
      <w:r w:rsidR="3C0CF589">
        <w:t xml:space="preserve"> through no fault of the voter. </w:t>
      </w:r>
      <w:r w:rsidR="08011A00" w:rsidRPr="4C29F5CA">
        <w:rPr>
          <w:rStyle w:val="FootnoteReference"/>
        </w:rPr>
        <w:footnoteReference w:id="3"/>
      </w:r>
    </w:p>
    <w:p w14:paraId="4811A604" w14:textId="56D5ACCB" w:rsidR="4DF050B5" w:rsidRDefault="7E636D50" w:rsidP="01387959">
      <w:pPr>
        <w:pStyle w:val="ListParagraph"/>
        <w:numPr>
          <w:ilvl w:val="0"/>
          <w:numId w:val="1"/>
        </w:numPr>
      </w:pPr>
      <w:r>
        <w:lastRenderedPageBreak/>
        <w:t xml:space="preserve">In </w:t>
      </w:r>
      <w:r w:rsidRPr="4C29F5CA">
        <w:rPr>
          <w:b/>
          <w:bCs/>
        </w:rPr>
        <w:t>Michigan</w:t>
      </w:r>
      <w:r>
        <w:t xml:space="preserve"> and </w:t>
      </w:r>
      <w:r w:rsidRPr="4C29F5CA">
        <w:rPr>
          <w:b/>
          <w:bCs/>
        </w:rPr>
        <w:t>North Carolina</w:t>
      </w:r>
      <w:r>
        <w:t xml:space="preserve">, AG Dana Nessel and AG Josh Stein </w:t>
      </w:r>
      <w:r w:rsidR="57055B86">
        <w:t xml:space="preserve">ensured </w:t>
      </w:r>
      <w:r w:rsidR="3903F1D0">
        <w:t xml:space="preserve">that every eligible voter who lives abroad as well as members of the armed forces and their families </w:t>
      </w:r>
      <w:r w:rsidR="2DDE9D82">
        <w:t xml:space="preserve">were </w:t>
      </w:r>
      <w:r w:rsidR="3903F1D0">
        <w:t>able to participate in this year’s election, despite efforts to bl</w:t>
      </w:r>
      <w:r w:rsidR="00980CCD">
        <w:t>o</w:t>
      </w:r>
      <w:r w:rsidR="3903F1D0">
        <w:t>ck th</w:t>
      </w:r>
      <w:r w:rsidR="51FDC5A9">
        <w:t>eir ballot</w:t>
      </w:r>
      <w:r w:rsidR="13E32C7C">
        <w:t xml:space="preserve"> access</w:t>
      </w:r>
      <w:r w:rsidR="51FDC5A9">
        <w:t>.</w:t>
      </w:r>
      <w:r w:rsidR="480227A2">
        <w:t xml:space="preserve"> </w:t>
      </w:r>
      <w:r w:rsidR="45307666">
        <w:t xml:space="preserve">In both </w:t>
      </w:r>
      <w:r w:rsidR="2CDB3542">
        <w:t>state</w:t>
      </w:r>
      <w:r w:rsidR="45307666">
        <w:t>s</w:t>
      </w:r>
      <w:r w:rsidR="2A0A5CB1">
        <w:t xml:space="preserve"> the </w:t>
      </w:r>
      <w:r w:rsidR="5B07A162">
        <w:t>RNC</w:t>
      </w:r>
      <w:r w:rsidR="2A0A5CB1">
        <w:t xml:space="preserve"> challenged</w:t>
      </w:r>
      <w:r w:rsidR="45307666">
        <w:t xml:space="preserve"> the </w:t>
      </w:r>
      <w:r w:rsidR="30D32B16">
        <w:t xml:space="preserve">voting eligibility of </w:t>
      </w:r>
      <w:r w:rsidR="45307666">
        <w:t xml:space="preserve">voting-age children and spouses of military and overseas residents </w:t>
      </w:r>
      <w:r w:rsidR="5341A42C">
        <w:t xml:space="preserve">because those individuals had not resided in the state. </w:t>
      </w:r>
      <w:r w:rsidR="1A919162">
        <w:t>The Federal Uniformed and Overseas Citizens Absentee Voting Act allows citizens who are not currently residents of the state to vot</w:t>
      </w:r>
      <w:r w:rsidR="21E84910">
        <w:t xml:space="preserve">e. </w:t>
      </w:r>
    </w:p>
    <w:p w14:paraId="33D12CB1" w14:textId="326A584C" w:rsidR="21E84910" w:rsidRDefault="21E84910" w:rsidP="4C29F5CA">
      <w:pPr>
        <w:pStyle w:val="ListParagraph"/>
        <w:numPr>
          <w:ilvl w:val="1"/>
          <w:numId w:val="1"/>
        </w:numPr>
      </w:pPr>
      <w:r>
        <w:t xml:space="preserve">The Michigan court ruled on the merits that both state and federal law, as well as the Michigan constitution, allow </w:t>
      </w:r>
      <w:r w:rsidR="3104BB6F">
        <w:t xml:space="preserve">the eligible spouses and dependents of Michigan overseas and military voters also to </w:t>
      </w:r>
      <w:r w:rsidR="38BBB00E">
        <w:t>cast their ballots.</w:t>
      </w:r>
      <w:r w:rsidRPr="4C29F5CA">
        <w:rPr>
          <w:rStyle w:val="FootnoteReference"/>
        </w:rPr>
        <w:footnoteReference w:id="4"/>
      </w:r>
    </w:p>
    <w:p w14:paraId="0FD15BC2" w14:textId="6DDC5611" w:rsidR="17D13BA7" w:rsidRDefault="17D13BA7" w:rsidP="4C29F5CA">
      <w:pPr>
        <w:pStyle w:val="ListParagraph"/>
        <w:numPr>
          <w:ilvl w:val="1"/>
          <w:numId w:val="1"/>
        </w:numPr>
      </w:pPr>
      <w:r>
        <w:t xml:space="preserve">In North Carolina, the court refused to </w:t>
      </w:r>
      <w:r w:rsidR="423C3F56">
        <w:t>grant the RNC a</w:t>
      </w:r>
      <w:r>
        <w:t xml:space="preserve"> </w:t>
      </w:r>
      <w:r w:rsidR="258457EC">
        <w:t xml:space="preserve">temporary restraining order, ruling that </w:t>
      </w:r>
      <w:r w:rsidR="46B06145">
        <w:t>plaintiffs</w:t>
      </w:r>
      <w:r w:rsidR="258457EC">
        <w:t xml:space="preserve"> failed to demonstrate that provis</w:t>
      </w:r>
      <w:r w:rsidR="30734E26">
        <w:t>ions allowing foreign-born U.S. citizens to vote had ever been us</w:t>
      </w:r>
      <w:r w:rsidR="1E0AB914">
        <w:t>ed fraudulently by anyone who was ineligible to vote.</w:t>
      </w:r>
      <w:r w:rsidRPr="4C29F5CA">
        <w:rPr>
          <w:rStyle w:val="FootnoteReference"/>
        </w:rPr>
        <w:footnoteReference w:id="5"/>
      </w:r>
      <w:r w:rsidR="1E0AB914">
        <w:t xml:space="preserve"> </w:t>
      </w:r>
      <w:r w:rsidR="4976EA10">
        <w:t xml:space="preserve"> </w:t>
      </w:r>
      <w:r w:rsidR="719CFE6F">
        <w:t xml:space="preserve"> </w:t>
      </w:r>
    </w:p>
    <w:p w14:paraId="04DAA05F" w14:textId="073B36B2" w:rsidR="7B0375BA" w:rsidRDefault="51FDC5A9" w:rsidP="01387959">
      <w:pPr>
        <w:pStyle w:val="ListParagraph"/>
        <w:numPr>
          <w:ilvl w:val="0"/>
          <w:numId w:val="1"/>
        </w:numPr>
      </w:pPr>
      <w:r>
        <w:t xml:space="preserve">In </w:t>
      </w:r>
      <w:r w:rsidRPr="4C29F5CA">
        <w:rPr>
          <w:b/>
          <w:bCs/>
        </w:rPr>
        <w:t>New York</w:t>
      </w:r>
      <w:r>
        <w:t>, AG Letitia James successfully defended the state’s new absentee voter laws</w:t>
      </w:r>
      <w:r w:rsidR="2E398895">
        <w:t>, all the way to the state’s highest court.</w:t>
      </w:r>
      <w:r w:rsidR="7B0375BA" w:rsidRPr="4C29F5CA">
        <w:rPr>
          <w:rStyle w:val="FootnoteReference"/>
        </w:rPr>
        <w:footnoteReference w:id="6"/>
      </w:r>
      <w:r w:rsidR="2E398895">
        <w:t xml:space="preserve"> This</w:t>
      </w:r>
      <w:r w:rsidR="0628681B">
        <w:t xml:space="preserve"> result protects the right of every</w:t>
      </w:r>
      <w:r w:rsidR="2E398895">
        <w:t xml:space="preserve"> voter in New York </w:t>
      </w:r>
      <w:r w:rsidR="2D90C84A">
        <w:t>to have</w:t>
      </w:r>
      <w:r w:rsidR="2E398895">
        <w:t xml:space="preserve"> access to </w:t>
      </w:r>
      <w:r w:rsidR="663F43E0">
        <w:t>vote by mail without requiring an excuse, making voting more accessible to all of New York’s citizens.</w:t>
      </w:r>
    </w:p>
    <w:p w14:paraId="1020A0ED" w14:textId="5D5C38AB" w:rsidR="2CE64CB2" w:rsidRDefault="2CE64CB2" w:rsidP="4C29F5CA">
      <w:pPr>
        <w:pStyle w:val="ListParagraph"/>
        <w:numPr>
          <w:ilvl w:val="0"/>
          <w:numId w:val="1"/>
        </w:numPr>
      </w:pPr>
      <w:r>
        <w:t>The National Association of Attorneys General released a statement leading up to the November 5, 2024</w:t>
      </w:r>
      <w:r w:rsidR="5162955B">
        <w:t>,</w:t>
      </w:r>
      <w:r>
        <w:t xml:space="preserve"> election on behalf of a bipartisan coalition of 51 </w:t>
      </w:r>
      <w:r w:rsidR="6851E4F4">
        <w:t>A</w:t>
      </w:r>
      <w:r>
        <w:t xml:space="preserve">ttorneys </w:t>
      </w:r>
      <w:r w:rsidR="3306F178">
        <w:t>G</w:t>
      </w:r>
      <w:r>
        <w:t xml:space="preserve">eneral condemning violence </w:t>
      </w:r>
      <w:r w:rsidR="05C5C182">
        <w:t xml:space="preserve">in response to the election results and calling for all Americans to respect the integrity of the voting process. </w:t>
      </w:r>
      <w:r w:rsidRPr="4C29F5CA">
        <w:rPr>
          <w:rStyle w:val="FootnoteReference"/>
        </w:rPr>
        <w:footnoteReference w:id="7"/>
      </w:r>
    </w:p>
    <w:p w14:paraId="7001889E" w14:textId="2EEB1C38" w:rsidR="1FEA38F1" w:rsidRDefault="1FEA38F1" w:rsidP="4C29F5CA">
      <w:r>
        <w:t xml:space="preserve">While the 2024 election process is winding down, the work of protecting democracy remains a top priority for progressive attorneys general across the country. </w:t>
      </w:r>
      <w:r w:rsidR="78CC92B1">
        <w:t xml:space="preserve">Indeed, the </w:t>
      </w:r>
      <w:r w:rsidR="78CC92B1">
        <w:lastRenderedPageBreak/>
        <w:t xml:space="preserve">task of defending the right of all </w:t>
      </w:r>
      <w:r w:rsidR="366D12F8">
        <w:t xml:space="preserve">eligible </w:t>
      </w:r>
      <w:r w:rsidR="78CC92B1">
        <w:t xml:space="preserve">citizens to cast a ballot, and of </w:t>
      </w:r>
      <w:r w:rsidR="09A8D575">
        <w:t xml:space="preserve">all candidates to campaign freely, has never been so important for our country. </w:t>
      </w:r>
      <w:r w:rsidR="2F832346">
        <w:t>State attorney</w:t>
      </w:r>
      <w:r w:rsidR="0ED9C935">
        <w:t>s</w:t>
      </w:r>
      <w:r w:rsidR="2F832346">
        <w:t xml:space="preserve"> general are prepared</w:t>
      </w:r>
      <w:r w:rsidR="5A2A151B">
        <w:t xml:space="preserve"> to </w:t>
      </w:r>
      <w:r w:rsidR="73C2618A">
        <w:t>continue to defend our rights.</w:t>
      </w:r>
      <w:r w:rsidR="5A2A151B">
        <w:t xml:space="preserve">  </w:t>
      </w:r>
    </w:p>
    <w:p w14:paraId="589785EA" w14:textId="57982EDE" w:rsidR="01387959" w:rsidRDefault="01387959"/>
    <w:p w14:paraId="06D9B302" w14:textId="7312795F" w:rsidR="01387959" w:rsidRDefault="01387959"/>
    <w:sectPr w:rsidR="01387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0CC08" w14:textId="77777777" w:rsidR="007329E8" w:rsidRDefault="007329E8">
      <w:pPr>
        <w:spacing w:after="0" w:line="240" w:lineRule="auto"/>
      </w:pPr>
      <w:r>
        <w:separator/>
      </w:r>
    </w:p>
  </w:endnote>
  <w:endnote w:type="continuationSeparator" w:id="0">
    <w:p w14:paraId="36D90886" w14:textId="77777777" w:rsidR="007329E8" w:rsidRDefault="0073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EB468" w14:textId="77777777" w:rsidR="007329E8" w:rsidRDefault="007329E8">
      <w:pPr>
        <w:spacing w:after="0" w:line="240" w:lineRule="auto"/>
      </w:pPr>
      <w:r>
        <w:separator/>
      </w:r>
    </w:p>
  </w:footnote>
  <w:footnote w:type="continuationSeparator" w:id="0">
    <w:p w14:paraId="247193FE" w14:textId="77777777" w:rsidR="007329E8" w:rsidRDefault="007329E8">
      <w:pPr>
        <w:spacing w:after="0" w:line="240" w:lineRule="auto"/>
      </w:pPr>
      <w:r>
        <w:continuationSeparator/>
      </w:r>
    </w:p>
  </w:footnote>
  <w:footnote w:id="1">
    <w:p w14:paraId="6C91C35E" w14:textId="4EC52537" w:rsidR="4C29F5CA" w:rsidRDefault="4C29F5CA" w:rsidP="4C29F5CA">
      <w:pPr>
        <w:pStyle w:val="FootnoteText"/>
      </w:pPr>
      <w:r w:rsidRPr="4C29F5CA">
        <w:rPr>
          <w:rStyle w:val="FootnoteReference"/>
        </w:rPr>
        <w:footnoteRef/>
      </w:r>
      <w:r w:rsidRPr="4C29F5CA">
        <w:rPr>
          <w:i/>
          <w:iCs/>
        </w:rPr>
        <w:t xml:space="preserve"> See</w:t>
      </w:r>
      <w:r>
        <w:t xml:space="preserve"> RNC v. Aguilar, Case No. 2:24-cv-00518-CDS-MDC, U.S. District Court District of Nevada (October 18, 2024) (</w:t>
      </w:r>
      <w:r w:rsidRPr="4C29F5CA">
        <w:t>https://www.democracydocket.com/wp-content/uploads/2024/03/121-2024-10-18-Order-granting-defendants-motion-to-dismiss.pdf).</w:t>
      </w:r>
    </w:p>
  </w:footnote>
  <w:footnote w:id="2">
    <w:p w14:paraId="14E9F8D2" w14:textId="7BD04F30" w:rsidR="4C29F5CA" w:rsidRDefault="4C29F5CA" w:rsidP="4C29F5CA">
      <w:pPr>
        <w:pStyle w:val="FootnoteText"/>
      </w:pPr>
      <w:r w:rsidRPr="4C29F5CA">
        <w:rPr>
          <w:rStyle w:val="FootnoteReference"/>
        </w:rPr>
        <w:footnoteRef/>
      </w:r>
      <w:r>
        <w:t xml:space="preserve"> See RNC v. Aguilar, Second Amended Complaint, No. 2:24-cv-00518-CDS-MDC (Nov. 11, 2024) (</w:t>
      </w:r>
      <w:r w:rsidRPr="4C29F5CA">
        <w:t>https://www.democracydocket.com/wp-content/uploads/2024/03/124-2024-11-11-Second-amended-complaint-WM.pdf).</w:t>
      </w:r>
    </w:p>
  </w:footnote>
  <w:footnote w:id="3">
    <w:p w14:paraId="16A20C83" w14:textId="26F99B08" w:rsidR="4C29F5CA" w:rsidRDefault="4C29F5CA" w:rsidP="4C29F5CA">
      <w:pPr>
        <w:pStyle w:val="FootnoteText"/>
      </w:pPr>
      <w:r w:rsidRPr="4C29F5CA">
        <w:rPr>
          <w:rStyle w:val="FootnoteReference"/>
        </w:rPr>
        <w:footnoteRef/>
      </w:r>
      <w:r>
        <w:t xml:space="preserve"> See RNC v. Aguilar, Nevada Supreme Courter Order 24-40423 (Oct. 28, 2024) (</w:t>
      </w:r>
      <w:hyperlink r:id="rId1">
        <w:r w:rsidRPr="4C29F5CA">
          <w:rPr>
            <w:rStyle w:val="Hyperlink"/>
          </w:rPr>
          <w:t>https://www.democracydocket.com/wp-content/uploads/2024/06/2024-10-28-Order-WM.pdf</w:t>
        </w:r>
      </w:hyperlink>
      <w:r w:rsidRPr="4C29F5CA">
        <w:t>).</w:t>
      </w:r>
    </w:p>
    <w:p w14:paraId="7830F5AE" w14:textId="1578951C" w:rsidR="4C29F5CA" w:rsidRDefault="4C29F5CA" w:rsidP="4C29F5CA">
      <w:pPr>
        <w:pStyle w:val="FootnoteText"/>
      </w:pPr>
    </w:p>
  </w:footnote>
  <w:footnote w:id="4">
    <w:p w14:paraId="67378536" w14:textId="1719027A" w:rsidR="4C29F5CA" w:rsidRDefault="4C29F5CA" w:rsidP="4C29F5CA">
      <w:pPr>
        <w:pStyle w:val="FootnoteText"/>
      </w:pPr>
      <w:r w:rsidRPr="4C29F5CA">
        <w:rPr>
          <w:rStyle w:val="FootnoteReference"/>
        </w:rPr>
        <w:footnoteRef/>
      </w:r>
      <w:r>
        <w:t xml:space="preserve"> </w:t>
      </w:r>
      <w:r w:rsidRPr="4C29F5CA">
        <w:rPr>
          <w:i/>
          <w:iCs/>
        </w:rPr>
        <w:t>See</w:t>
      </w:r>
      <w:r w:rsidRPr="4C29F5CA">
        <w:t xml:space="preserve"> Michigan Republican Party et al. v Benson, Case No. 24-000165-MZ, Michigan Court of Claims (Oct. 10, 2024) (</w:t>
      </w:r>
      <w:hyperlink r:id="rId2">
        <w:r w:rsidRPr="4C29F5CA">
          <w:rPr>
            <w:rStyle w:val="Hyperlink"/>
          </w:rPr>
          <w:t>https://www.democracydocket.com/wp-content/uploads/2024/10/2024-10-21-Order-and-opinion-granting-defendants-motion-for-summary-judgment.pdf</w:t>
        </w:r>
      </w:hyperlink>
      <w:r w:rsidRPr="4C29F5CA">
        <w:t>).</w:t>
      </w:r>
    </w:p>
  </w:footnote>
  <w:footnote w:id="5">
    <w:p w14:paraId="009A78DB" w14:textId="3B7F1D01" w:rsidR="4C29F5CA" w:rsidRDefault="4C29F5CA" w:rsidP="4C29F5CA">
      <w:pPr>
        <w:pStyle w:val="FootnoteText"/>
      </w:pPr>
      <w:r w:rsidRPr="4C29F5CA">
        <w:rPr>
          <w:rStyle w:val="FootnoteReference"/>
        </w:rPr>
        <w:footnoteRef/>
      </w:r>
      <w:r>
        <w:t xml:space="preserve"> </w:t>
      </w:r>
      <w:r w:rsidRPr="4C29F5CA">
        <w:rPr>
          <w:i/>
          <w:iCs/>
        </w:rPr>
        <w:t>See</w:t>
      </w:r>
      <w:r w:rsidRPr="4C29F5CA">
        <w:t xml:space="preserve"> Kivett v. NC State Board of Elections, Superior Court Order, File no. 24CV031557-910 (Oct. 21, 2024) (</w:t>
      </w:r>
      <w:hyperlink r:id="rId3">
        <w:r w:rsidRPr="4C29F5CA">
          <w:rPr>
            <w:rStyle w:val="Hyperlink"/>
          </w:rPr>
          <w:t>https://www.democracydocket.com/wp-content/uploads/2024/10/2024-10-21-Order-denying-Republican-plaintiffs-motion-for-preliminary-injunction.pdf</w:t>
        </w:r>
      </w:hyperlink>
      <w:r w:rsidRPr="4C29F5CA">
        <w:t xml:space="preserve">).  </w:t>
      </w:r>
      <w:r>
        <w:t>While the plaintiffs filed a supersedeas in the NC Supreme Court, no action was taken prior to the election, allowing these voters to cast ballots lawfully.</w:t>
      </w:r>
      <w:r w:rsidRPr="4C29F5CA">
        <w:rPr>
          <w:i/>
          <w:iCs/>
        </w:rPr>
        <w:t xml:space="preserve"> See</w:t>
      </w:r>
      <w:r w:rsidRPr="4C29F5CA">
        <w:t xml:space="preserve"> Kivett v. NC State Board of Elections, Plaintiffs’ Petition for Writ of Supersedeas and for Discretionary Review, Supreme Court of North Carolina No. P24-735 (Nov. 1, 2024) (</w:t>
      </w:r>
      <w:hyperlink r:id="rId4">
        <w:r w:rsidRPr="4C29F5CA">
          <w:rPr>
            <w:rStyle w:val="Hyperlink"/>
          </w:rPr>
          <w:t>https://www.democracydocket.com/wp-content/uploads/2024/10/2024-11-01-petition.pdf</w:t>
        </w:r>
      </w:hyperlink>
      <w:r w:rsidRPr="4C29F5CA">
        <w:t>).</w:t>
      </w:r>
    </w:p>
  </w:footnote>
  <w:footnote w:id="6">
    <w:p w14:paraId="2EBF3592" w14:textId="221E95C0" w:rsidR="4C29F5CA" w:rsidRDefault="4C29F5CA" w:rsidP="4C29F5CA">
      <w:pPr>
        <w:pStyle w:val="FootnoteText"/>
      </w:pPr>
      <w:r w:rsidRPr="4C29F5CA">
        <w:rPr>
          <w:rStyle w:val="FootnoteReference"/>
        </w:rPr>
        <w:footnoteRef/>
      </w:r>
      <w:r>
        <w:t xml:space="preserve"> </w:t>
      </w:r>
      <w:r w:rsidRPr="4C29F5CA">
        <w:rPr>
          <w:i/>
          <w:iCs/>
        </w:rPr>
        <w:t>See</w:t>
      </w:r>
      <w:r w:rsidRPr="4C29F5CA">
        <w:t xml:space="preserve"> </w:t>
      </w:r>
      <w:proofErr w:type="spellStart"/>
      <w:r w:rsidRPr="4C29F5CA">
        <w:t>Amedure</w:t>
      </w:r>
      <w:proofErr w:type="spellEnd"/>
      <w:r w:rsidRPr="4C29F5CA">
        <w:t xml:space="preserve"> v. State of New York, State of New York Court of Appeals, Opinion, No. 126 (Oct. 31, 2024) (</w:t>
      </w:r>
      <w:hyperlink r:id="rId5">
        <w:r w:rsidRPr="4C29F5CA">
          <w:rPr>
            <w:rStyle w:val="Hyperlink"/>
          </w:rPr>
          <w:t>https://www.democracydocket.com/wp-content/uploads/2023/09/2024-10-31-Opinion.pdf</w:t>
        </w:r>
      </w:hyperlink>
      <w:r w:rsidRPr="4C29F5CA">
        <w:t>).</w:t>
      </w:r>
    </w:p>
  </w:footnote>
  <w:footnote w:id="7">
    <w:p w14:paraId="11D75595" w14:textId="4D58C049" w:rsidR="4C29F5CA" w:rsidRDefault="4C29F5CA" w:rsidP="4C29F5CA">
      <w:pPr>
        <w:pStyle w:val="FootnoteText"/>
      </w:pPr>
      <w:r w:rsidRPr="4C29F5CA">
        <w:rPr>
          <w:rStyle w:val="FootnoteReference"/>
        </w:rPr>
        <w:footnoteRef/>
      </w:r>
      <w:r>
        <w:t xml:space="preserve"> National Association of Attorneys General, “Attorneys General Issue Bipartisan Statement Condemning Possible Violence in Response to Election Results,” Nov. 4, 2024 (</w:t>
      </w:r>
      <w:r w:rsidRPr="4C29F5CA">
        <w:t>https://www.doj.state.or.us/wp-content/uploads/2024/11/STATEMENT-Possible-Violence-in-Response-to-Election-Results.pdf).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876102"/>
    <w:multiLevelType w:val="hybridMultilevel"/>
    <w:tmpl w:val="A868160A"/>
    <w:lvl w:ilvl="0" w:tplc="CED43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7C8A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2C6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98D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A0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522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6E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6A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985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79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32B5C1"/>
    <w:rsid w:val="00004C39"/>
    <w:rsid w:val="00181CA2"/>
    <w:rsid w:val="001B5315"/>
    <w:rsid w:val="001C3638"/>
    <w:rsid w:val="00455CBF"/>
    <w:rsid w:val="0052208F"/>
    <w:rsid w:val="00565E32"/>
    <w:rsid w:val="005E2B06"/>
    <w:rsid w:val="00644893"/>
    <w:rsid w:val="006E368A"/>
    <w:rsid w:val="00712938"/>
    <w:rsid w:val="007329E8"/>
    <w:rsid w:val="00980CCD"/>
    <w:rsid w:val="00AE6349"/>
    <w:rsid w:val="00BD1F2A"/>
    <w:rsid w:val="00CE35B8"/>
    <w:rsid w:val="00D61DD6"/>
    <w:rsid w:val="01387959"/>
    <w:rsid w:val="0230B530"/>
    <w:rsid w:val="0300FAA8"/>
    <w:rsid w:val="03A8B31F"/>
    <w:rsid w:val="041154BF"/>
    <w:rsid w:val="05B75108"/>
    <w:rsid w:val="05C5C182"/>
    <w:rsid w:val="05E6A4C2"/>
    <w:rsid w:val="0628681B"/>
    <w:rsid w:val="070A8B79"/>
    <w:rsid w:val="0749B1BD"/>
    <w:rsid w:val="08011A00"/>
    <w:rsid w:val="0908E42B"/>
    <w:rsid w:val="090D2344"/>
    <w:rsid w:val="0987E063"/>
    <w:rsid w:val="09A8D575"/>
    <w:rsid w:val="0A350218"/>
    <w:rsid w:val="0A816219"/>
    <w:rsid w:val="0B0B1B3A"/>
    <w:rsid w:val="0CF418A3"/>
    <w:rsid w:val="0D66CA57"/>
    <w:rsid w:val="0DD96CC5"/>
    <w:rsid w:val="0ED9C935"/>
    <w:rsid w:val="0EDECDC4"/>
    <w:rsid w:val="0F542B40"/>
    <w:rsid w:val="0F655DF8"/>
    <w:rsid w:val="0F68148B"/>
    <w:rsid w:val="107887F0"/>
    <w:rsid w:val="10A292E1"/>
    <w:rsid w:val="10C7E47B"/>
    <w:rsid w:val="1193FD16"/>
    <w:rsid w:val="12EA0520"/>
    <w:rsid w:val="13E32C7C"/>
    <w:rsid w:val="14D0920D"/>
    <w:rsid w:val="1547DA0D"/>
    <w:rsid w:val="15D80656"/>
    <w:rsid w:val="1613B33A"/>
    <w:rsid w:val="162714FE"/>
    <w:rsid w:val="171FD8E8"/>
    <w:rsid w:val="177E441B"/>
    <w:rsid w:val="178A1B0A"/>
    <w:rsid w:val="17D13BA7"/>
    <w:rsid w:val="18DFF18C"/>
    <w:rsid w:val="19CDE2E5"/>
    <w:rsid w:val="1A919162"/>
    <w:rsid w:val="1CA59FC4"/>
    <w:rsid w:val="1CA6DD5B"/>
    <w:rsid w:val="1CFB4D59"/>
    <w:rsid w:val="1DE99990"/>
    <w:rsid w:val="1E0AB914"/>
    <w:rsid w:val="1EBE108E"/>
    <w:rsid w:val="1ECD41D6"/>
    <w:rsid w:val="1FEA38F1"/>
    <w:rsid w:val="2003AA4E"/>
    <w:rsid w:val="207423AB"/>
    <w:rsid w:val="20CB5F91"/>
    <w:rsid w:val="2162AD22"/>
    <w:rsid w:val="21B4AF06"/>
    <w:rsid w:val="21E84910"/>
    <w:rsid w:val="233D7039"/>
    <w:rsid w:val="237CA6F4"/>
    <w:rsid w:val="23B87117"/>
    <w:rsid w:val="254B42B6"/>
    <w:rsid w:val="254B4551"/>
    <w:rsid w:val="2553B69D"/>
    <w:rsid w:val="258457EC"/>
    <w:rsid w:val="2597561A"/>
    <w:rsid w:val="2695D18C"/>
    <w:rsid w:val="26DCBC78"/>
    <w:rsid w:val="26DE62B0"/>
    <w:rsid w:val="2700A1AF"/>
    <w:rsid w:val="280F7A93"/>
    <w:rsid w:val="2A0A5CB1"/>
    <w:rsid w:val="2AA05D0E"/>
    <w:rsid w:val="2B09F23F"/>
    <w:rsid w:val="2C51BC79"/>
    <w:rsid w:val="2C9A857A"/>
    <w:rsid w:val="2CDB3542"/>
    <w:rsid w:val="2CE64CB2"/>
    <w:rsid w:val="2D6A3744"/>
    <w:rsid w:val="2D90C84A"/>
    <w:rsid w:val="2DB6DBCF"/>
    <w:rsid w:val="2DDE9D82"/>
    <w:rsid w:val="2E01707B"/>
    <w:rsid w:val="2E398895"/>
    <w:rsid w:val="2E3F92F1"/>
    <w:rsid w:val="2EA57364"/>
    <w:rsid w:val="2EA756C0"/>
    <w:rsid w:val="2F67A080"/>
    <w:rsid w:val="2F832346"/>
    <w:rsid w:val="2FAEB9D6"/>
    <w:rsid w:val="30734E26"/>
    <w:rsid w:val="30D32B16"/>
    <w:rsid w:val="3104BB6F"/>
    <w:rsid w:val="329CFED9"/>
    <w:rsid w:val="3306F178"/>
    <w:rsid w:val="33DC68ED"/>
    <w:rsid w:val="3418C66C"/>
    <w:rsid w:val="3443A249"/>
    <w:rsid w:val="349171CA"/>
    <w:rsid w:val="34E004B8"/>
    <w:rsid w:val="366D12F8"/>
    <w:rsid w:val="36746CDB"/>
    <w:rsid w:val="37A135C3"/>
    <w:rsid w:val="37B678FC"/>
    <w:rsid w:val="37D8E014"/>
    <w:rsid w:val="38AB465A"/>
    <w:rsid w:val="38BBB00E"/>
    <w:rsid w:val="38D35808"/>
    <w:rsid w:val="38E6B157"/>
    <w:rsid w:val="38F2A566"/>
    <w:rsid w:val="3903F1D0"/>
    <w:rsid w:val="39911BC8"/>
    <w:rsid w:val="39E7F93B"/>
    <w:rsid w:val="3A9D8268"/>
    <w:rsid w:val="3AFCB695"/>
    <w:rsid w:val="3B03AEE1"/>
    <w:rsid w:val="3B62918A"/>
    <w:rsid w:val="3C0CF589"/>
    <w:rsid w:val="3C6FBA80"/>
    <w:rsid w:val="3DB1C6FE"/>
    <w:rsid w:val="3F1A5DF8"/>
    <w:rsid w:val="3F33909B"/>
    <w:rsid w:val="3FD1FA76"/>
    <w:rsid w:val="401AB038"/>
    <w:rsid w:val="4036657B"/>
    <w:rsid w:val="403934B7"/>
    <w:rsid w:val="40DDA42F"/>
    <w:rsid w:val="40E1D68E"/>
    <w:rsid w:val="41593B71"/>
    <w:rsid w:val="41F9C6E9"/>
    <w:rsid w:val="423C3F56"/>
    <w:rsid w:val="43032645"/>
    <w:rsid w:val="438AE51A"/>
    <w:rsid w:val="45307666"/>
    <w:rsid w:val="4548EB68"/>
    <w:rsid w:val="46B06145"/>
    <w:rsid w:val="480227A2"/>
    <w:rsid w:val="48F2D665"/>
    <w:rsid w:val="4976EA10"/>
    <w:rsid w:val="4A7676FB"/>
    <w:rsid w:val="4A8DAA45"/>
    <w:rsid w:val="4AF7989A"/>
    <w:rsid w:val="4B22B35E"/>
    <w:rsid w:val="4B23FA2B"/>
    <w:rsid w:val="4BB119D6"/>
    <w:rsid w:val="4C29F5CA"/>
    <w:rsid w:val="4C64F5BD"/>
    <w:rsid w:val="4C7660C2"/>
    <w:rsid w:val="4DF050B5"/>
    <w:rsid w:val="4E5A1BC9"/>
    <w:rsid w:val="4E7B4482"/>
    <w:rsid w:val="4E7FFBEC"/>
    <w:rsid w:val="4E8763B1"/>
    <w:rsid w:val="4F235BE3"/>
    <w:rsid w:val="4F60E2C0"/>
    <w:rsid w:val="4FDBF755"/>
    <w:rsid w:val="50D06E1D"/>
    <w:rsid w:val="5162955B"/>
    <w:rsid w:val="51B30828"/>
    <w:rsid w:val="51F9921E"/>
    <w:rsid w:val="51FDC5A9"/>
    <w:rsid w:val="522B0B4C"/>
    <w:rsid w:val="529E0F57"/>
    <w:rsid w:val="52C4D443"/>
    <w:rsid w:val="52C82FA4"/>
    <w:rsid w:val="530218DE"/>
    <w:rsid w:val="5341A42C"/>
    <w:rsid w:val="53CB5545"/>
    <w:rsid w:val="53D4D000"/>
    <w:rsid w:val="550E4368"/>
    <w:rsid w:val="5645CF6B"/>
    <w:rsid w:val="57055B86"/>
    <w:rsid w:val="5A2A151B"/>
    <w:rsid w:val="5B07A162"/>
    <w:rsid w:val="5B3DB003"/>
    <w:rsid w:val="5C3D9498"/>
    <w:rsid w:val="5C5C4D5D"/>
    <w:rsid w:val="5CB7D430"/>
    <w:rsid w:val="5E3962C8"/>
    <w:rsid w:val="5E8C48A4"/>
    <w:rsid w:val="5F985390"/>
    <w:rsid w:val="6064450D"/>
    <w:rsid w:val="60C42906"/>
    <w:rsid w:val="60DF201A"/>
    <w:rsid w:val="6132B5C1"/>
    <w:rsid w:val="6176349A"/>
    <w:rsid w:val="61F9B0F3"/>
    <w:rsid w:val="621236A6"/>
    <w:rsid w:val="62DD8CE4"/>
    <w:rsid w:val="64A1630B"/>
    <w:rsid w:val="663F43E0"/>
    <w:rsid w:val="67818D8A"/>
    <w:rsid w:val="6781A7A9"/>
    <w:rsid w:val="67FDD9F1"/>
    <w:rsid w:val="6809E40F"/>
    <w:rsid w:val="6851E4F4"/>
    <w:rsid w:val="69571A3C"/>
    <w:rsid w:val="69C081DB"/>
    <w:rsid w:val="6AA96B17"/>
    <w:rsid w:val="6AF5C01E"/>
    <w:rsid w:val="6AFF4A72"/>
    <w:rsid w:val="6B9E665E"/>
    <w:rsid w:val="6C548E7B"/>
    <w:rsid w:val="6C9E08A4"/>
    <w:rsid w:val="6DB78476"/>
    <w:rsid w:val="6EEDE07D"/>
    <w:rsid w:val="6EF29DE0"/>
    <w:rsid w:val="7002A4CA"/>
    <w:rsid w:val="719CFE6F"/>
    <w:rsid w:val="723A559A"/>
    <w:rsid w:val="72CEBE1A"/>
    <w:rsid w:val="73357D4E"/>
    <w:rsid w:val="73C2618A"/>
    <w:rsid w:val="75ED5101"/>
    <w:rsid w:val="77437DD3"/>
    <w:rsid w:val="775B3269"/>
    <w:rsid w:val="77FB35C2"/>
    <w:rsid w:val="78653153"/>
    <w:rsid w:val="78CC92B1"/>
    <w:rsid w:val="794A731F"/>
    <w:rsid w:val="79A75B78"/>
    <w:rsid w:val="79C6820F"/>
    <w:rsid w:val="7B0375BA"/>
    <w:rsid w:val="7B3387E2"/>
    <w:rsid w:val="7B624C02"/>
    <w:rsid w:val="7BC67157"/>
    <w:rsid w:val="7C27F192"/>
    <w:rsid w:val="7CDDB38A"/>
    <w:rsid w:val="7D0E5E78"/>
    <w:rsid w:val="7D88E15C"/>
    <w:rsid w:val="7E636D50"/>
    <w:rsid w:val="7FA4B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2B5C1"/>
  <w15:chartTrackingRefBased/>
  <w15:docId w15:val="{708E9FE2-E293-473D-BC33-39C67502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1387959"/>
    <w:pPr>
      <w:ind w:left="720"/>
      <w:contextualSpacing/>
    </w:pPr>
  </w:style>
  <w:style w:type="paragraph" w:styleId="FootnoteText">
    <w:name w:val="footnote text"/>
    <w:basedOn w:val="Normal"/>
    <w:uiPriority w:val="99"/>
    <w:semiHidden/>
    <w:unhideWhenUsed/>
    <w:rsid w:val="4C29F5CA"/>
    <w:pPr>
      <w:spacing w:after="0" w:line="240" w:lineRule="auto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4C29F5CA"/>
    <w:rPr>
      <w:color w:val="467886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E35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emocracydocket.com/wp-content/uploads/2024/10/2024-10-21-Order-denying-Republican-plaintiffs-motion-for-preliminary-injunction.pdf" TargetMode="External"/><Relationship Id="rId2" Type="http://schemas.openxmlformats.org/officeDocument/2006/relationships/hyperlink" Target="https://www.democracydocket.com/wp-content/uploads/2024/10/2024-10-21-Order-and-opinion-granting-defendants-motion-for-summary-judgment.pdf" TargetMode="External"/><Relationship Id="rId1" Type="http://schemas.openxmlformats.org/officeDocument/2006/relationships/hyperlink" Target="https://www.democracydocket.com/wp-content/uploads/2024/06/2024-10-28-Order-WM.pdf" TargetMode="External"/><Relationship Id="rId5" Type="http://schemas.openxmlformats.org/officeDocument/2006/relationships/hyperlink" Target="https://www.democracydocket.com/wp-content/uploads/2023/09/2024-10-31-Opinion.pdf" TargetMode="External"/><Relationship Id="rId4" Type="http://schemas.openxmlformats.org/officeDocument/2006/relationships/hyperlink" Target="https://www.democracydocket.com/wp-content/uploads/2024/10/2024-11-01-peti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43a752-1588-45a7-b9f5-c09ebdbb1ce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75A722786E945A8F4E9569E456760" ma:contentTypeVersion="18" ma:contentTypeDescription="Create a new document." ma:contentTypeScope="" ma:versionID="768421cc9965a8cfdcb9dd9c837965fe">
  <xsd:schema xmlns:xsd="http://www.w3.org/2001/XMLSchema" xmlns:xs="http://www.w3.org/2001/XMLSchema" xmlns:p="http://schemas.microsoft.com/office/2006/metadata/properties" xmlns:ns3="1d43a752-1588-45a7-b9f5-c09ebdbb1ced" xmlns:ns4="45ed6ad3-be1b-42e0-8cb7-6228717a0faa" targetNamespace="http://schemas.microsoft.com/office/2006/metadata/properties" ma:root="true" ma:fieldsID="083c33ad980228750bfe7593963fadf8" ns3:_="" ns4:_="">
    <xsd:import namespace="1d43a752-1588-45a7-b9f5-c09ebdbb1ced"/>
    <xsd:import namespace="45ed6ad3-be1b-42e0-8cb7-6228717a0f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3a752-1588-45a7-b9f5-c09ebdbb1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d6ad3-be1b-42e0-8cb7-6228717a0fa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9035BC-3854-4F80-8248-9FD68DABA5B0}">
  <ds:schemaRefs>
    <ds:schemaRef ds:uri="http://schemas.microsoft.com/office/2006/metadata/properties"/>
    <ds:schemaRef ds:uri="http://schemas.microsoft.com/office/infopath/2007/PartnerControls"/>
    <ds:schemaRef ds:uri="1d43a752-1588-45a7-b9f5-c09ebdbb1ced"/>
  </ds:schemaRefs>
</ds:datastoreItem>
</file>

<file path=customXml/itemProps2.xml><?xml version="1.0" encoding="utf-8"?>
<ds:datastoreItem xmlns:ds="http://schemas.openxmlformats.org/officeDocument/2006/customXml" ds:itemID="{E5BD48ED-6D36-4BFC-B1D2-C5D7C31F5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3a752-1588-45a7-b9f5-c09ebdbb1ced"/>
    <ds:schemaRef ds:uri="45ed6ad3-be1b-42e0-8cb7-6228717a0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F24E81-D33D-4B4E-91ED-37275D02D4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Tindall Ghazal</dc:creator>
  <cp:keywords/>
  <dc:description/>
  <cp:lastModifiedBy>Jennifer Lannom</cp:lastModifiedBy>
  <cp:revision>2</cp:revision>
  <dcterms:created xsi:type="dcterms:W3CDTF">2024-12-02T18:40:00Z</dcterms:created>
  <dcterms:modified xsi:type="dcterms:W3CDTF">2024-12-02T18:40:00Z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0x010100E9675A722786E945A8F4E9569E456760</vt:lpwstr>
  </property>
</Properties>
</file>