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5EE2" w14:textId="77777777" w:rsidR="00702C12" w:rsidRDefault="00702C12" w:rsidP="00C12458">
      <w:pPr>
        <w:jc w:val="center"/>
        <w:rPr>
          <w:b/>
        </w:rPr>
      </w:pPr>
      <w:r>
        <w:rPr>
          <w:b/>
          <w:noProof/>
        </w:rPr>
        <w:drawing>
          <wp:anchor distT="0" distB="0" distL="114300" distR="114300" simplePos="0" relativeHeight="251658240" behindDoc="0" locked="0" layoutInCell="1" allowOverlap="1" wp14:anchorId="1030A8B3" wp14:editId="35C4A522">
            <wp:simplePos x="0" y="0"/>
            <wp:positionH relativeFrom="column">
              <wp:posOffset>1949664</wp:posOffset>
            </wp:positionH>
            <wp:positionV relativeFrom="paragraph">
              <wp:posOffset>0</wp:posOffset>
            </wp:positionV>
            <wp:extent cx="2000592" cy="990324"/>
            <wp:effectExtent l="0" t="0" r="0" b="63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795045510"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592" cy="990324"/>
                    </a:xfrm>
                    <a:prstGeom prst="rect">
                      <a:avLst/>
                    </a:prstGeom>
                  </pic:spPr>
                </pic:pic>
              </a:graphicData>
            </a:graphic>
          </wp:anchor>
        </w:drawing>
      </w:r>
      <w:r>
        <w:rPr>
          <w:b/>
        </w:rPr>
        <w:br w:type="textWrapping" w:clear="all"/>
      </w:r>
    </w:p>
    <w:p w14:paraId="0A98C3B8" w14:textId="77777777" w:rsidR="00702C12" w:rsidRDefault="00702C12" w:rsidP="00C72C6A">
      <w:pPr>
        <w:jc w:val="center"/>
        <w:rPr>
          <w:rFonts w:asciiTheme="majorHAnsi" w:eastAsia="Calibri" w:hAnsiTheme="majorHAnsi" w:cstheme="majorHAnsi"/>
          <w:b/>
        </w:rPr>
      </w:pPr>
      <w:r>
        <w:rPr>
          <w:rFonts w:asciiTheme="majorHAnsi" w:eastAsia="Calibri" w:hAnsiTheme="majorHAnsi" w:cstheme="majorHAnsi"/>
          <w:b/>
          <w:u w:val="single"/>
        </w:rPr>
        <w:t>T</w:t>
      </w:r>
      <w:r w:rsidRPr="003938B5">
        <w:rPr>
          <w:rFonts w:asciiTheme="majorHAnsi" w:eastAsia="Calibri" w:hAnsiTheme="majorHAnsi" w:cstheme="majorHAnsi"/>
          <w:b/>
          <w:u w:val="single"/>
        </w:rPr>
        <w:t xml:space="preserve">he Role of Attorneys General </w:t>
      </w:r>
      <w:r>
        <w:rPr>
          <w:rFonts w:asciiTheme="majorHAnsi" w:eastAsia="Calibri" w:hAnsiTheme="majorHAnsi" w:cstheme="majorHAnsi"/>
          <w:b/>
          <w:u w:val="single"/>
        </w:rPr>
        <w:t xml:space="preserve">in </w:t>
      </w:r>
      <w:r w:rsidRPr="003938B5">
        <w:rPr>
          <w:rFonts w:asciiTheme="majorHAnsi" w:eastAsia="Calibri" w:hAnsiTheme="majorHAnsi" w:cstheme="majorHAnsi"/>
          <w:b/>
          <w:u w:val="single"/>
        </w:rPr>
        <w:t xml:space="preserve">Addressing </w:t>
      </w:r>
      <w:r>
        <w:rPr>
          <w:rFonts w:ascii="Calibri" w:eastAsia="Calibri" w:hAnsi="Calibri" w:cs="Calibri"/>
          <w:b/>
          <w:u w:val="single"/>
        </w:rPr>
        <w:t>Wage Theft and Worker Misclassification</w:t>
      </w:r>
    </w:p>
    <w:p w14:paraId="2199257D" w14:textId="77777777" w:rsidR="00702C12" w:rsidRDefault="00702C12" w:rsidP="00F51A2B">
      <w:pPr>
        <w:spacing w:line="240" w:lineRule="auto"/>
        <w:jc w:val="center"/>
        <w:rPr>
          <w:rFonts w:asciiTheme="majorHAnsi" w:eastAsia="Calibri" w:hAnsiTheme="majorHAnsi" w:cstheme="majorHAnsi"/>
          <w:b/>
        </w:rPr>
      </w:pPr>
    </w:p>
    <w:p w14:paraId="0B3FF65E" w14:textId="77777777" w:rsidR="00702C12" w:rsidRPr="00C72C6A" w:rsidRDefault="00702C12" w:rsidP="00C72C6A">
      <w:pPr>
        <w:spacing w:line="240" w:lineRule="auto"/>
        <w:jc w:val="center"/>
        <w:rPr>
          <w:rFonts w:asciiTheme="majorHAnsi" w:eastAsia="Calibri" w:hAnsiTheme="majorHAnsi" w:cstheme="majorHAnsi"/>
          <w:b/>
        </w:rPr>
      </w:pPr>
      <w:r w:rsidRPr="00C72C6A">
        <w:rPr>
          <w:rFonts w:asciiTheme="majorHAnsi" w:eastAsia="Calibri" w:hAnsiTheme="majorHAnsi" w:cstheme="majorHAnsi"/>
          <w:b/>
        </w:rPr>
        <w:t>Authors: Joshua Diamond, Grace Pak</w:t>
      </w:r>
    </w:p>
    <w:p w14:paraId="2FDB3257" w14:textId="77777777" w:rsidR="00702C12" w:rsidRPr="00C72C6A" w:rsidRDefault="00702C12" w:rsidP="00F51A2B">
      <w:pPr>
        <w:spacing w:line="240" w:lineRule="auto"/>
        <w:rPr>
          <w:rFonts w:asciiTheme="majorHAnsi" w:eastAsia="Calibri" w:hAnsiTheme="majorHAnsi" w:cstheme="majorHAnsi"/>
          <w:b/>
        </w:rPr>
      </w:pPr>
      <w:r w:rsidRPr="00C72C6A">
        <w:rPr>
          <w:rFonts w:asciiTheme="majorHAnsi" w:eastAsia="Calibri" w:hAnsiTheme="majorHAnsi" w:cstheme="majorHAnsi"/>
          <w:b/>
        </w:rPr>
        <w:tab/>
      </w:r>
      <w:r w:rsidRPr="00C72C6A">
        <w:rPr>
          <w:rFonts w:asciiTheme="majorHAnsi" w:eastAsia="Calibri" w:hAnsiTheme="majorHAnsi" w:cstheme="majorHAnsi"/>
          <w:b/>
        </w:rPr>
        <w:tab/>
      </w:r>
      <w:r w:rsidRPr="00C72C6A">
        <w:rPr>
          <w:rFonts w:asciiTheme="majorHAnsi" w:eastAsia="Calibri" w:hAnsiTheme="majorHAnsi" w:cstheme="majorHAnsi"/>
          <w:b/>
        </w:rPr>
        <w:tab/>
      </w:r>
      <w:r w:rsidRPr="00C72C6A">
        <w:rPr>
          <w:rFonts w:asciiTheme="majorHAnsi" w:eastAsia="Calibri" w:hAnsiTheme="majorHAnsi" w:cstheme="majorHAnsi"/>
          <w:b/>
        </w:rPr>
        <w:tab/>
        <w:t>Contributors: Britteny Jenkins, Jonathan Sclarsic</w:t>
      </w:r>
    </w:p>
    <w:p w14:paraId="0727044F" w14:textId="77777777" w:rsidR="00702C12" w:rsidRDefault="00702C12" w:rsidP="003938B5">
      <w:pPr>
        <w:spacing w:line="240" w:lineRule="auto"/>
        <w:rPr>
          <w:rFonts w:asciiTheme="majorHAnsi" w:eastAsia="Calibri" w:hAnsiTheme="majorHAnsi" w:cstheme="majorHAnsi"/>
          <w:b/>
          <w:u w:val="single"/>
        </w:rPr>
      </w:pPr>
    </w:p>
    <w:p w14:paraId="7EDCEFDC" w14:textId="77777777" w:rsidR="00702C12" w:rsidRPr="00C72C6A" w:rsidRDefault="00702C12" w:rsidP="00F51A2B">
      <w:pPr>
        <w:spacing w:line="240" w:lineRule="auto"/>
        <w:rPr>
          <w:rFonts w:asciiTheme="majorHAnsi" w:hAnsiTheme="majorHAnsi" w:cstheme="majorHAnsi"/>
          <w:b/>
          <w:u w:val="single"/>
        </w:rPr>
      </w:pPr>
      <w:r w:rsidRPr="00C72C6A">
        <w:rPr>
          <w:rFonts w:asciiTheme="majorHAnsi" w:hAnsiTheme="majorHAnsi" w:cstheme="majorHAnsi"/>
          <w:b/>
          <w:u w:val="single"/>
        </w:rPr>
        <w:t>Summary</w:t>
      </w:r>
    </w:p>
    <w:p w14:paraId="7CEACEB8" w14:textId="77777777" w:rsidR="00702C12" w:rsidRPr="00C021CF" w:rsidRDefault="00702C12" w:rsidP="002A3AB5">
      <w:pPr>
        <w:spacing w:line="240" w:lineRule="auto"/>
        <w:rPr>
          <w:rFonts w:asciiTheme="majorHAnsi" w:hAnsiTheme="majorHAnsi" w:cstheme="majorHAnsi"/>
        </w:rPr>
      </w:pPr>
    </w:p>
    <w:p w14:paraId="5709562A" w14:textId="77777777" w:rsidR="00702C12" w:rsidRDefault="00702C12" w:rsidP="002A3AB5">
      <w:pPr>
        <w:spacing w:line="240" w:lineRule="auto"/>
        <w:rPr>
          <w:rFonts w:ascii="Calibri" w:hAnsi="Calibri" w:cs="Calibri"/>
          <w:color w:val="000000"/>
        </w:rPr>
      </w:pPr>
      <w:r>
        <w:rPr>
          <w:rFonts w:ascii="Calibri" w:hAnsi="Calibri" w:cs="Calibri"/>
          <w:color w:val="000000"/>
        </w:rPr>
        <w:t xml:space="preserve">State Attorneys General play key roles in protecting workers’ rights.  Attorneys General have powers and authority to advance and defend workplace protections, including the recovery of lost wages resulting from misclassification and wage theft.  Many state Attorneys General have established units focused on workers’ rights to combat these illegal business practices and protect workers.  Attorneys General who establish such units in their offices will find that these units benefit their consistuents, especially those from vulnerable communities.  </w:t>
      </w:r>
    </w:p>
    <w:p w14:paraId="1C3B63B3" w14:textId="77777777" w:rsidR="00702C12" w:rsidRDefault="00702C12" w:rsidP="002A3AB5">
      <w:pPr>
        <w:spacing w:line="240" w:lineRule="auto"/>
        <w:rPr>
          <w:rFonts w:ascii="Calibri" w:hAnsi="Calibri" w:cs="Calibri"/>
          <w:color w:val="000000"/>
        </w:rPr>
      </w:pPr>
    </w:p>
    <w:p w14:paraId="2D6C86B9" w14:textId="77C0FEEB" w:rsidR="00702C12" w:rsidRDefault="00702C12" w:rsidP="002A3AB5">
      <w:pPr>
        <w:spacing w:line="240" w:lineRule="auto"/>
        <w:rPr>
          <w:rFonts w:ascii="Calibri" w:hAnsi="Calibri" w:cs="Calibri"/>
          <w:color w:val="000000"/>
        </w:rPr>
      </w:pPr>
      <w:r>
        <w:rPr>
          <w:rFonts w:ascii="Calibri" w:hAnsi="Calibri" w:cs="Calibri"/>
          <w:color w:val="000000"/>
        </w:rPr>
        <w:t xml:space="preserve">In addition to these specialized units, state Attorneys General can develop strategic partnerships with local prosecutors and the private bar to enforce existing wage and hour laws.  Attorneys General can also </w:t>
      </w:r>
      <w:r w:rsidRPr="00DB3916">
        <w:rPr>
          <w:rFonts w:asciiTheme="majorHAnsi" w:hAnsiTheme="majorHAnsi" w:cstheme="majorHAnsi"/>
        </w:rPr>
        <w:t xml:space="preserve">engage organized labor and immigrant communities through outreach and the development of relationships to help build a pipeline for enforcement cases.  Finally, Attorneys General </w:t>
      </w:r>
      <w:r>
        <w:rPr>
          <w:rFonts w:asciiTheme="majorHAnsi" w:hAnsiTheme="majorHAnsi" w:cstheme="majorHAnsi"/>
        </w:rPr>
        <w:t>can</w:t>
      </w:r>
      <w:r w:rsidRPr="00DB3916">
        <w:rPr>
          <w:rFonts w:asciiTheme="majorHAnsi" w:hAnsiTheme="majorHAnsi" w:cstheme="majorHAnsi"/>
        </w:rPr>
        <w:t xml:space="preserve"> utilize their bullypulpit to educate the public and business community on wage and hour laws to foster a culture of compliance.</w:t>
      </w:r>
    </w:p>
    <w:p w14:paraId="37791FA1" w14:textId="77777777" w:rsidR="00702C12" w:rsidRDefault="00702C12" w:rsidP="002A3AB5">
      <w:pPr>
        <w:spacing w:line="240" w:lineRule="auto"/>
        <w:rPr>
          <w:rFonts w:ascii="Calibri" w:hAnsi="Calibri" w:cs="Calibri"/>
          <w:color w:val="000000"/>
        </w:rPr>
      </w:pPr>
    </w:p>
    <w:p w14:paraId="3CBF34B6" w14:textId="77777777" w:rsidR="00702C12" w:rsidRPr="00C72C6A" w:rsidRDefault="00702C12" w:rsidP="002A3AB5">
      <w:pPr>
        <w:spacing w:line="240" w:lineRule="auto"/>
        <w:rPr>
          <w:rFonts w:ascii="Calibri" w:hAnsi="Calibri" w:cs="Calibri"/>
          <w:b/>
          <w:bCs/>
          <w:color w:val="000000"/>
          <w:u w:val="single"/>
        </w:rPr>
      </w:pPr>
      <w:r w:rsidRPr="00C72C6A">
        <w:rPr>
          <w:rFonts w:ascii="Calibri" w:hAnsi="Calibri" w:cs="Calibri"/>
          <w:b/>
          <w:bCs/>
          <w:color w:val="000000"/>
          <w:u w:val="single"/>
        </w:rPr>
        <w:t>Introduction</w:t>
      </w:r>
    </w:p>
    <w:p w14:paraId="0E560010" w14:textId="77777777" w:rsidR="00702C12" w:rsidRDefault="00702C12" w:rsidP="002A3AB5">
      <w:pPr>
        <w:spacing w:line="240" w:lineRule="auto"/>
        <w:rPr>
          <w:rFonts w:ascii="Calibri" w:hAnsi="Calibri" w:cs="Calibri"/>
          <w:color w:val="000000"/>
        </w:rPr>
      </w:pPr>
    </w:p>
    <w:p w14:paraId="144D2667" w14:textId="77777777" w:rsidR="00702C12" w:rsidRDefault="00702C12" w:rsidP="002A3AB5">
      <w:pPr>
        <w:spacing w:line="240" w:lineRule="auto"/>
        <w:rPr>
          <w:rFonts w:asciiTheme="majorHAnsi" w:hAnsiTheme="majorHAnsi" w:cstheme="majorHAnsi"/>
        </w:rPr>
      </w:pPr>
      <w:r>
        <w:rPr>
          <w:rFonts w:asciiTheme="majorHAnsi" w:hAnsiTheme="majorHAnsi" w:cstheme="majorHAnsi"/>
        </w:rPr>
        <w:t>The relationship between employers and employees is premised upon an exchange.  Employees provide labor and in exchange they receive a wage, workplace protections, and a social safety net.  When an employer misclassifies an employee as an independent contractor, workers lose the benefits of this exchange.  Employers stop paying and employees no longer receive the benefits of minimum wages, overtime, Social Security and Medicare taxes, unemployment insurance, worker’s compensation benefits, and the protections of federal anti-discrimination laws.</w:t>
      </w:r>
      <w:r>
        <w:rPr>
          <w:rStyle w:val="FootnoteReference"/>
          <w:rFonts w:asciiTheme="majorHAnsi" w:hAnsiTheme="majorHAnsi" w:cstheme="majorHAnsi"/>
        </w:rPr>
        <w:footnoteReference w:id="1"/>
      </w:r>
      <w:r>
        <w:rPr>
          <w:rFonts w:asciiTheme="majorHAnsi" w:hAnsiTheme="majorHAnsi" w:cstheme="majorHAnsi"/>
        </w:rPr>
        <w:t>’</w:t>
      </w:r>
      <w:r>
        <w:rPr>
          <w:rStyle w:val="FootnoteReference"/>
          <w:rFonts w:asciiTheme="majorHAnsi" w:hAnsiTheme="majorHAnsi" w:cstheme="majorHAnsi"/>
        </w:rPr>
        <w:footnoteReference w:id="2"/>
      </w:r>
    </w:p>
    <w:p w14:paraId="6EC706EC" w14:textId="77777777" w:rsidR="00702C12" w:rsidRDefault="00702C12" w:rsidP="002A3AB5">
      <w:pPr>
        <w:spacing w:line="240" w:lineRule="auto"/>
        <w:rPr>
          <w:rFonts w:asciiTheme="majorHAnsi" w:hAnsiTheme="majorHAnsi" w:cstheme="majorHAnsi"/>
        </w:rPr>
      </w:pPr>
    </w:p>
    <w:p w14:paraId="64616CD7" w14:textId="77777777" w:rsidR="00702C12" w:rsidRDefault="00702C12" w:rsidP="002A3AB5">
      <w:pPr>
        <w:spacing w:line="240" w:lineRule="auto"/>
        <w:rPr>
          <w:rFonts w:asciiTheme="majorHAnsi" w:hAnsiTheme="majorHAnsi" w:cstheme="majorHAnsi"/>
        </w:rPr>
      </w:pPr>
      <w:r>
        <w:rPr>
          <w:rFonts w:asciiTheme="majorHAnsi" w:hAnsiTheme="majorHAnsi" w:cstheme="majorHAnsi"/>
        </w:rPr>
        <w:t>Misclassification</w:t>
      </w:r>
      <w:r w:rsidRPr="00C021CF">
        <w:rPr>
          <w:rFonts w:asciiTheme="majorHAnsi" w:hAnsiTheme="majorHAnsi" w:cstheme="majorHAnsi"/>
        </w:rPr>
        <w:t xml:space="preserve"> has been exacerbated by the emergence of the “gig economy.”  Gig work involves individuals who are viewed as independent contractors working for digital companies such as ride share apps, deliveries for restaurants, or other shopping services.  A recent survey of gig workers revealed more than a quarter earned less than either the state or federal minimum wage.</w:t>
      </w:r>
      <w:r>
        <w:rPr>
          <w:rStyle w:val="FootnoteReference"/>
          <w:rFonts w:asciiTheme="majorHAnsi" w:hAnsiTheme="majorHAnsi" w:cstheme="majorHAnsi"/>
        </w:rPr>
        <w:footnoteReference w:id="3"/>
      </w:r>
      <w:r w:rsidRPr="00C021CF">
        <w:rPr>
          <w:rFonts w:asciiTheme="majorHAnsi" w:hAnsiTheme="majorHAnsi" w:cstheme="majorHAnsi"/>
        </w:rPr>
        <w:t xml:space="preserve">   </w:t>
      </w:r>
    </w:p>
    <w:p w14:paraId="08995D89" w14:textId="77777777" w:rsidR="00702C12" w:rsidRDefault="00702C12" w:rsidP="002A3AB5">
      <w:pPr>
        <w:spacing w:line="240" w:lineRule="auto"/>
        <w:rPr>
          <w:rFonts w:asciiTheme="majorHAnsi" w:hAnsiTheme="majorHAnsi" w:cstheme="majorHAnsi"/>
        </w:rPr>
      </w:pPr>
    </w:p>
    <w:p w14:paraId="7EA5F3AF" w14:textId="77777777" w:rsidR="00702C12" w:rsidRPr="00C021CF" w:rsidRDefault="00702C12" w:rsidP="002A3AB5">
      <w:pPr>
        <w:spacing w:line="240" w:lineRule="auto"/>
        <w:rPr>
          <w:rFonts w:asciiTheme="majorHAnsi" w:hAnsiTheme="majorHAnsi" w:cstheme="majorHAnsi"/>
        </w:rPr>
      </w:pPr>
      <w:r>
        <w:rPr>
          <w:rFonts w:asciiTheme="majorHAnsi" w:hAnsiTheme="majorHAnsi" w:cstheme="majorHAnsi"/>
        </w:rPr>
        <w:t xml:space="preserve">Further, misclassification impacts access to </w:t>
      </w:r>
      <w:r w:rsidRPr="00912482">
        <w:rPr>
          <w:rFonts w:asciiTheme="majorHAnsi" w:hAnsiTheme="majorHAnsi" w:cstheme="majorHAnsi"/>
        </w:rPr>
        <w:t xml:space="preserve">health insurance </w:t>
      </w:r>
      <w:r>
        <w:rPr>
          <w:rFonts w:asciiTheme="majorHAnsi" w:hAnsiTheme="majorHAnsi" w:cstheme="majorHAnsi"/>
        </w:rPr>
        <w:t xml:space="preserve">and other benefits.  When an employee is misclassified as an independent contractor, employer </w:t>
      </w:r>
      <w:r w:rsidRPr="00912482">
        <w:rPr>
          <w:rFonts w:asciiTheme="majorHAnsi" w:hAnsiTheme="majorHAnsi" w:cstheme="majorHAnsi"/>
        </w:rPr>
        <w:t>premiums</w:t>
      </w:r>
      <w:r>
        <w:rPr>
          <w:rFonts w:asciiTheme="majorHAnsi" w:hAnsiTheme="majorHAnsi" w:cstheme="majorHAnsi"/>
        </w:rPr>
        <w:t xml:space="preserve"> for health insurance are not paid, contributions to retirement plans do not occur, and vacation and sick leave are not accrued.</w:t>
      </w:r>
      <w:r>
        <w:rPr>
          <w:rStyle w:val="FootnoteReference"/>
          <w:rFonts w:asciiTheme="majorHAnsi" w:hAnsiTheme="majorHAnsi" w:cstheme="majorHAnsi"/>
        </w:rPr>
        <w:footnoteReference w:id="4"/>
      </w:r>
      <w:r>
        <w:rPr>
          <w:rFonts w:asciiTheme="majorHAnsi" w:hAnsiTheme="majorHAnsi" w:cstheme="majorHAnsi"/>
        </w:rPr>
        <w:t xml:space="preserve">  By classifying an employee as an independent contractor, the employee will  be responsible to pay for the full amount of employment based taxes that go to Social Security and Medicare.</w:t>
      </w:r>
      <w:r>
        <w:rPr>
          <w:rStyle w:val="FootnoteReference"/>
          <w:rFonts w:asciiTheme="majorHAnsi" w:hAnsiTheme="majorHAnsi" w:cstheme="majorHAnsi"/>
        </w:rPr>
        <w:footnoteReference w:id="5"/>
      </w:r>
      <w:r>
        <w:rPr>
          <w:rFonts w:asciiTheme="majorHAnsi" w:hAnsiTheme="majorHAnsi" w:cstheme="majorHAnsi"/>
        </w:rPr>
        <w:t xml:space="preserve"> </w:t>
      </w:r>
    </w:p>
    <w:p w14:paraId="3F827324" w14:textId="77777777" w:rsidR="00702C12" w:rsidRDefault="00702C12" w:rsidP="002A3AB5">
      <w:pPr>
        <w:spacing w:line="240" w:lineRule="auto"/>
        <w:rPr>
          <w:rFonts w:asciiTheme="majorHAnsi" w:hAnsiTheme="majorHAnsi" w:cstheme="majorHAnsi"/>
        </w:rPr>
      </w:pPr>
    </w:p>
    <w:p w14:paraId="0A87FB95" w14:textId="77777777" w:rsidR="00702C12" w:rsidRPr="00C021CF" w:rsidRDefault="00702C12" w:rsidP="002A3AB5">
      <w:pPr>
        <w:spacing w:line="240" w:lineRule="auto"/>
        <w:rPr>
          <w:rFonts w:asciiTheme="majorHAnsi" w:hAnsiTheme="majorHAnsi" w:cstheme="majorHAnsi"/>
        </w:rPr>
      </w:pPr>
      <w:r w:rsidRPr="00C021CF">
        <w:rPr>
          <w:rFonts w:asciiTheme="majorHAnsi" w:hAnsiTheme="majorHAnsi" w:cstheme="majorHAnsi"/>
        </w:rPr>
        <w:t xml:space="preserve">Wage </w:t>
      </w:r>
      <w:r>
        <w:rPr>
          <w:rFonts w:asciiTheme="majorHAnsi" w:hAnsiTheme="majorHAnsi" w:cstheme="majorHAnsi"/>
        </w:rPr>
        <w:t>theft is the illegal non-payment or underpayment of wages in violation of wage and hour law, contract law, or criminal law.</w:t>
      </w:r>
      <w:r>
        <w:rPr>
          <w:rStyle w:val="FootnoteReference"/>
          <w:rFonts w:asciiTheme="majorHAnsi" w:hAnsiTheme="majorHAnsi" w:cstheme="majorHAnsi"/>
        </w:rPr>
        <w:footnoteReference w:id="6"/>
      </w:r>
      <w:r>
        <w:rPr>
          <w:rFonts w:asciiTheme="majorHAnsi" w:hAnsiTheme="majorHAnsi" w:cstheme="majorHAnsi"/>
        </w:rPr>
        <w:t>’</w:t>
      </w:r>
      <w:r>
        <w:rPr>
          <w:rStyle w:val="FootnoteReference"/>
          <w:rFonts w:asciiTheme="majorHAnsi" w:hAnsiTheme="majorHAnsi" w:cstheme="majorHAnsi"/>
        </w:rPr>
        <w:footnoteReference w:id="7"/>
      </w:r>
      <w:r>
        <w:rPr>
          <w:rFonts w:asciiTheme="majorHAnsi" w:hAnsiTheme="majorHAnsi" w:cstheme="majorHAnsi"/>
        </w:rPr>
        <w:t xml:space="preserve">  Wage </w:t>
      </w:r>
      <w:r w:rsidRPr="00C021CF">
        <w:rPr>
          <w:rFonts w:asciiTheme="majorHAnsi" w:hAnsiTheme="majorHAnsi" w:cstheme="majorHAnsi"/>
        </w:rPr>
        <w:t>theft takes on many different forms</w:t>
      </w:r>
      <w:r>
        <w:rPr>
          <w:rFonts w:asciiTheme="majorHAnsi" w:hAnsiTheme="majorHAnsi" w:cstheme="majorHAnsi"/>
        </w:rPr>
        <w:t>—it can</w:t>
      </w:r>
      <w:r w:rsidRPr="00C021CF">
        <w:rPr>
          <w:rFonts w:asciiTheme="majorHAnsi" w:hAnsiTheme="majorHAnsi" w:cstheme="majorHAnsi"/>
        </w:rPr>
        <w:t xml:space="preserve"> occur when employees are misclassified as independent contractors or exempt </w:t>
      </w:r>
      <w:r>
        <w:rPr>
          <w:rFonts w:asciiTheme="majorHAnsi" w:hAnsiTheme="majorHAnsi" w:cstheme="majorHAnsi"/>
        </w:rPr>
        <w:t xml:space="preserve">from the Fair Labor Standards Act </w:t>
      </w:r>
      <w:r w:rsidRPr="00C021CF">
        <w:rPr>
          <w:rFonts w:asciiTheme="majorHAnsi" w:hAnsiTheme="majorHAnsi" w:cstheme="majorHAnsi"/>
        </w:rPr>
        <w:t>so that minimum wage and</w:t>
      </w:r>
      <w:r>
        <w:rPr>
          <w:rFonts w:asciiTheme="majorHAnsi" w:hAnsiTheme="majorHAnsi" w:cstheme="majorHAnsi"/>
        </w:rPr>
        <w:t>/or</w:t>
      </w:r>
      <w:r w:rsidRPr="00C021CF">
        <w:rPr>
          <w:rFonts w:asciiTheme="majorHAnsi" w:hAnsiTheme="majorHAnsi" w:cstheme="majorHAnsi"/>
        </w:rPr>
        <w:t xml:space="preserve"> overtime are not paid.  </w:t>
      </w:r>
      <w:r>
        <w:rPr>
          <w:rFonts w:asciiTheme="majorHAnsi" w:hAnsiTheme="majorHAnsi" w:cstheme="majorHAnsi"/>
        </w:rPr>
        <w:t>It also includes taking unauthorized deductions from a worker’s paycheck or failing to pay for all hours worked.</w:t>
      </w:r>
      <w:r>
        <w:rPr>
          <w:rStyle w:val="FootnoteReference"/>
          <w:rFonts w:asciiTheme="majorHAnsi" w:hAnsiTheme="majorHAnsi" w:cstheme="majorHAnsi"/>
        </w:rPr>
        <w:footnoteReference w:id="8"/>
      </w:r>
      <w:r>
        <w:rPr>
          <w:rFonts w:asciiTheme="majorHAnsi" w:hAnsiTheme="majorHAnsi" w:cstheme="majorHAnsi"/>
        </w:rPr>
        <w:t xml:space="preserve">  </w:t>
      </w:r>
      <w:r w:rsidRPr="00C021CF">
        <w:rPr>
          <w:rFonts w:asciiTheme="majorHAnsi" w:hAnsiTheme="majorHAnsi" w:cstheme="majorHAnsi"/>
        </w:rPr>
        <w:t>Lost income from wage theft is staggering.  Recent estimated losses from minimum wage violations alone are $15 billion annually.</w:t>
      </w:r>
      <w:r>
        <w:rPr>
          <w:rStyle w:val="FootnoteReference"/>
          <w:rFonts w:asciiTheme="majorHAnsi" w:hAnsiTheme="majorHAnsi" w:cstheme="majorHAnsi"/>
        </w:rPr>
        <w:footnoteReference w:id="9"/>
      </w:r>
      <w:r w:rsidRPr="00C021CF">
        <w:rPr>
          <w:rFonts w:asciiTheme="majorHAnsi" w:hAnsiTheme="majorHAnsi" w:cstheme="majorHAnsi"/>
        </w:rPr>
        <w:t xml:space="preserve">  </w:t>
      </w:r>
    </w:p>
    <w:p w14:paraId="1DCB2BE4" w14:textId="77777777" w:rsidR="00702C12" w:rsidRPr="00C021CF" w:rsidRDefault="00702C12" w:rsidP="002A3AB5">
      <w:pPr>
        <w:spacing w:line="240" w:lineRule="auto"/>
        <w:rPr>
          <w:rFonts w:asciiTheme="majorHAnsi" w:hAnsiTheme="majorHAnsi" w:cstheme="majorHAnsi"/>
        </w:rPr>
      </w:pPr>
    </w:p>
    <w:p w14:paraId="165F9C7A" w14:textId="77777777" w:rsidR="00702C12" w:rsidRPr="00C021CF" w:rsidRDefault="00702C12" w:rsidP="002A3AB5">
      <w:pPr>
        <w:spacing w:line="240" w:lineRule="auto"/>
        <w:rPr>
          <w:rFonts w:asciiTheme="majorHAnsi" w:hAnsiTheme="majorHAnsi" w:cstheme="majorHAnsi"/>
        </w:rPr>
      </w:pPr>
      <w:r w:rsidRPr="00C021CF">
        <w:rPr>
          <w:rFonts w:asciiTheme="majorHAnsi" w:hAnsiTheme="majorHAnsi" w:cstheme="majorHAnsi"/>
        </w:rPr>
        <w:t>Wage theft is also an issue of social justice.  Wage theft frequently occurs in low-wage industries, and the make-up of the workers are disproportionately women, workers of color, and immigrants.</w:t>
      </w:r>
      <w:r>
        <w:rPr>
          <w:rStyle w:val="FootnoteReference"/>
          <w:rFonts w:asciiTheme="majorHAnsi" w:hAnsiTheme="majorHAnsi" w:cstheme="majorHAnsi"/>
        </w:rPr>
        <w:footnoteReference w:id="10"/>
      </w:r>
      <w:r w:rsidRPr="00C021CF">
        <w:rPr>
          <w:rFonts w:asciiTheme="majorHAnsi" w:hAnsiTheme="majorHAnsi" w:cstheme="majorHAnsi"/>
        </w:rPr>
        <w:t xml:space="preserve">  Migrant workers are often victims because unscrupulous employers take advantage of their status with threats of deportation.</w:t>
      </w:r>
    </w:p>
    <w:p w14:paraId="6D02B535" w14:textId="77777777" w:rsidR="00702C12" w:rsidRPr="00C021CF" w:rsidRDefault="00702C12" w:rsidP="002A3AB5">
      <w:pPr>
        <w:spacing w:line="240" w:lineRule="auto"/>
        <w:rPr>
          <w:rFonts w:asciiTheme="majorHAnsi" w:hAnsiTheme="majorHAnsi" w:cstheme="majorHAnsi"/>
        </w:rPr>
      </w:pPr>
    </w:p>
    <w:p w14:paraId="1BEE97A2" w14:textId="14EA60AD" w:rsidR="00702C12" w:rsidRPr="00C021CF" w:rsidRDefault="00702C12" w:rsidP="002A3AB5">
      <w:pPr>
        <w:spacing w:line="240" w:lineRule="auto"/>
        <w:rPr>
          <w:rFonts w:asciiTheme="majorHAnsi" w:hAnsiTheme="majorHAnsi" w:cstheme="majorHAnsi"/>
        </w:rPr>
      </w:pPr>
      <w:r>
        <w:rPr>
          <w:rFonts w:asciiTheme="majorHAnsi" w:hAnsiTheme="majorHAnsi" w:cstheme="majorHAnsi"/>
        </w:rPr>
        <w:t xml:space="preserve">State </w:t>
      </w:r>
      <w:r w:rsidRPr="00C021CF">
        <w:rPr>
          <w:rFonts w:asciiTheme="majorHAnsi" w:hAnsiTheme="majorHAnsi" w:cstheme="majorHAnsi"/>
        </w:rPr>
        <w:t>Attorneys General (AGs) play a critical role in combating wage theft</w:t>
      </w:r>
      <w:r>
        <w:rPr>
          <w:rFonts w:asciiTheme="majorHAnsi" w:hAnsiTheme="majorHAnsi" w:cstheme="majorHAnsi"/>
        </w:rPr>
        <w:t xml:space="preserve"> and worker misclassification</w:t>
      </w:r>
      <w:r w:rsidRPr="00C021CF">
        <w:rPr>
          <w:rFonts w:asciiTheme="majorHAnsi" w:hAnsiTheme="majorHAnsi" w:cstheme="majorHAnsi"/>
        </w:rPr>
        <w:t>.  Through enforcement</w:t>
      </w:r>
      <w:r>
        <w:rPr>
          <w:rFonts w:asciiTheme="majorHAnsi" w:hAnsiTheme="majorHAnsi" w:cstheme="majorHAnsi"/>
        </w:rPr>
        <w:t xml:space="preserve"> of wage and hour laws</w:t>
      </w:r>
      <w:r w:rsidRPr="00C021CF">
        <w:rPr>
          <w:rFonts w:asciiTheme="majorHAnsi" w:hAnsiTheme="majorHAnsi" w:cstheme="majorHAnsi"/>
        </w:rPr>
        <w:t>, advocating for policy changes, and public outreach, AGs can bring meaningful relief to those victimized by wage theft</w:t>
      </w:r>
      <w:r>
        <w:rPr>
          <w:rFonts w:asciiTheme="majorHAnsi" w:hAnsiTheme="majorHAnsi" w:cstheme="majorHAnsi"/>
        </w:rPr>
        <w:t xml:space="preserve"> and worker misclassification</w:t>
      </w:r>
      <w:r w:rsidRPr="00C021CF">
        <w:rPr>
          <w:rFonts w:asciiTheme="majorHAnsi" w:hAnsiTheme="majorHAnsi" w:cstheme="majorHAnsi"/>
        </w:rPr>
        <w:t>.</w:t>
      </w:r>
      <w:r>
        <w:rPr>
          <w:rStyle w:val="FootnoteReference"/>
          <w:rFonts w:asciiTheme="majorHAnsi" w:hAnsiTheme="majorHAnsi" w:cstheme="majorHAnsi"/>
        </w:rPr>
        <w:footnoteReference w:id="11"/>
      </w:r>
      <w:r w:rsidRPr="00C021CF">
        <w:rPr>
          <w:rFonts w:asciiTheme="majorHAnsi" w:hAnsiTheme="majorHAnsi" w:cstheme="majorHAnsi"/>
        </w:rPr>
        <w:t xml:space="preserve">  </w:t>
      </w:r>
      <w:r>
        <w:rPr>
          <w:rFonts w:asciiTheme="majorHAnsi" w:hAnsiTheme="majorHAnsi" w:cstheme="majorHAnsi"/>
        </w:rPr>
        <w:t xml:space="preserve">For example, many of the AG Offices (AGO) have expanded their capacity or  launched units and divisions to protect workers.  </w:t>
      </w:r>
      <w:r w:rsidRPr="00C021CF">
        <w:rPr>
          <w:rFonts w:asciiTheme="majorHAnsi" w:hAnsiTheme="majorHAnsi" w:cstheme="majorHAnsi"/>
        </w:rPr>
        <w:t>Ten AG</w:t>
      </w:r>
      <w:r>
        <w:rPr>
          <w:rFonts w:asciiTheme="majorHAnsi" w:hAnsiTheme="majorHAnsi" w:cstheme="majorHAnsi"/>
        </w:rPr>
        <w:t xml:space="preserve">Os </w:t>
      </w:r>
      <w:r w:rsidRPr="00C021CF">
        <w:rPr>
          <w:rFonts w:asciiTheme="majorHAnsi" w:hAnsiTheme="majorHAnsi" w:cstheme="majorHAnsi"/>
        </w:rPr>
        <w:t xml:space="preserve">have dedicated units focusing on workers’ rights, including </w:t>
      </w:r>
      <w:r>
        <w:rPr>
          <w:rFonts w:asciiTheme="majorHAnsi" w:hAnsiTheme="majorHAnsi" w:cstheme="majorHAnsi"/>
        </w:rPr>
        <w:t xml:space="preserve">misclassification and </w:t>
      </w:r>
      <w:r w:rsidRPr="00C021CF">
        <w:rPr>
          <w:rFonts w:asciiTheme="majorHAnsi" w:hAnsiTheme="majorHAnsi" w:cstheme="majorHAnsi"/>
        </w:rPr>
        <w:t>wage theft.  They are: C</w:t>
      </w:r>
      <w:r>
        <w:rPr>
          <w:rFonts w:asciiTheme="majorHAnsi" w:hAnsiTheme="majorHAnsi" w:cstheme="majorHAnsi"/>
        </w:rPr>
        <w:t>alifornia</w:t>
      </w:r>
      <w:r w:rsidRPr="00C021CF">
        <w:rPr>
          <w:rFonts w:asciiTheme="majorHAnsi" w:hAnsiTheme="majorHAnsi" w:cstheme="majorHAnsi"/>
        </w:rPr>
        <w:t>, M</w:t>
      </w:r>
      <w:r>
        <w:rPr>
          <w:rFonts w:asciiTheme="majorHAnsi" w:hAnsiTheme="majorHAnsi" w:cstheme="majorHAnsi"/>
        </w:rPr>
        <w:t>asschushetts</w:t>
      </w:r>
      <w:r w:rsidRPr="00C021CF">
        <w:rPr>
          <w:rFonts w:asciiTheme="majorHAnsi" w:hAnsiTheme="majorHAnsi" w:cstheme="majorHAnsi"/>
        </w:rPr>
        <w:t>, N</w:t>
      </w:r>
      <w:r>
        <w:rPr>
          <w:rFonts w:asciiTheme="majorHAnsi" w:hAnsiTheme="majorHAnsi" w:cstheme="majorHAnsi"/>
        </w:rPr>
        <w:t xml:space="preserve">ew </w:t>
      </w:r>
      <w:r w:rsidRPr="00C021CF">
        <w:rPr>
          <w:rFonts w:asciiTheme="majorHAnsi" w:hAnsiTheme="majorHAnsi" w:cstheme="majorHAnsi"/>
        </w:rPr>
        <w:t>Y</w:t>
      </w:r>
      <w:r>
        <w:rPr>
          <w:rFonts w:asciiTheme="majorHAnsi" w:hAnsiTheme="majorHAnsi" w:cstheme="majorHAnsi"/>
        </w:rPr>
        <w:t>ork</w:t>
      </w:r>
      <w:r w:rsidRPr="00C021CF">
        <w:rPr>
          <w:rFonts w:asciiTheme="majorHAnsi" w:hAnsiTheme="majorHAnsi" w:cstheme="majorHAnsi"/>
        </w:rPr>
        <w:t>, D</w:t>
      </w:r>
      <w:r>
        <w:rPr>
          <w:rFonts w:asciiTheme="majorHAnsi" w:hAnsiTheme="majorHAnsi" w:cstheme="majorHAnsi"/>
        </w:rPr>
        <w:t xml:space="preserve">istrict of </w:t>
      </w:r>
      <w:r w:rsidRPr="00C021CF">
        <w:rPr>
          <w:rFonts w:asciiTheme="majorHAnsi" w:hAnsiTheme="majorHAnsi" w:cstheme="majorHAnsi"/>
        </w:rPr>
        <w:t>C</w:t>
      </w:r>
      <w:r>
        <w:rPr>
          <w:rFonts w:asciiTheme="majorHAnsi" w:hAnsiTheme="majorHAnsi" w:cstheme="majorHAnsi"/>
        </w:rPr>
        <w:t>olumbia</w:t>
      </w:r>
      <w:r w:rsidRPr="00C021CF">
        <w:rPr>
          <w:rFonts w:asciiTheme="majorHAnsi" w:hAnsiTheme="majorHAnsi" w:cstheme="majorHAnsi"/>
        </w:rPr>
        <w:t>, I</w:t>
      </w:r>
      <w:r>
        <w:rPr>
          <w:rFonts w:asciiTheme="majorHAnsi" w:hAnsiTheme="majorHAnsi" w:cstheme="majorHAnsi"/>
        </w:rPr>
        <w:t>llinois</w:t>
      </w:r>
      <w:r w:rsidRPr="00C021CF">
        <w:rPr>
          <w:rFonts w:asciiTheme="majorHAnsi" w:hAnsiTheme="majorHAnsi" w:cstheme="majorHAnsi"/>
        </w:rPr>
        <w:t>, M</w:t>
      </w:r>
      <w:r>
        <w:rPr>
          <w:rFonts w:asciiTheme="majorHAnsi" w:hAnsiTheme="majorHAnsi" w:cstheme="majorHAnsi"/>
        </w:rPr>
        <w:t>ichigan</w:t>
      </w:r>
      <w:r w:rsidRPr="00C021CF">
        <w:rPr>
          <w:rFonts w:asciiTheme="majorHAnsi" w:hAnsiTheme="majorHAnsi" w:cstheme="majorHAnsi"/>
        </w:rPr>
        <w:t xml:space="preserve">, </w:t>
      </w:r>
      <w:r w:rsidRPr="00C021CF">
        <w:rPr>
          <w:rFonts w:asciiTheme="majorHAnsi" w:hAnsiTheme="majorHAnsi" w:cstheme="majorHAnsi"/>
        </w:rPr>
        <w:lastRenderedPageBreak/>
        <w:t>M</w:t>
      </w:r>
      <w:r>
        <w:rPr>
          <w:rFonts w:asciiTheme="majorHAnsi" w:hAnsiTheme="majorHAnsi" w:cstheme="majorHAnsi"/>
        </w:rPr>
        <w:t>innesota</w:t>
      </w:r>
      <w:r w:rsidRPr="00C021CF">
        <w:rPr>
          <w:rFonts w:asciiTheme="majorHAnsi" w:hAnsiTheme="majorHAnsi" w:cstheme="majorHAnsi"/>
        </w:rPr>
        <w:t>, N</w:t>
      </w:r>
      <w:r>
        <w:rPr>
          <w:rFonts w:asciiTheme="majorHAnsi" w:hAnsiTheme="majorHAnsi" w:cstheme="majorHAnsi"/>
        </w:rPr>
        <w:t xml:space="preserve">ew </w:t>
      </w:r>
      <w:r w:rsidRPr="00C021CF">
        <w:rPr>
          <w:rFonts w:asciiTheme="majorHAnsi" w:hAnsiTheme="majorHAnsi" w:cstheme="majorHAnsi"/>
        </w:rPr>
        <w:t>J</w:t>
      </w:r>
      <w:r>
        <w:rPr>
          <w:rFonts w:asciiTheme="majorHAnsi" w:hAnsiTheme="majorHAnsi" w:cstheme="majorHAnsi"/>
        </w:rPr>
        <w:t>ersey</w:t>
      </w:r>
      <w:r w:rsidRPr="00C021CF">
        <w:rPr>
          <w:rFonts w:asciiTheme="majorHAnsi" w:hAnsiTheme="majorHAnsi" w:cstheme="majorHAnsi"/>
        </w:rPr>
        <w:t>, P</w:t>
      </w:r>
      <w:r>
        <w:rPr>
          <w:rFonts w:asciiTheme="majorHAnsi" w:hAnsiTheme="majorHAnsi" w:cstheme="majorHAnsi"/>
        </w:rPr>
        <w:t>ennsylvannia</w:t>
      </w:r>
      <w:r w:rsidRPr="00C021CF">
        <w:rPr>
          <w:rFonts w:asciiTheme="majorHAnsi" w:hAnsiTheme="majorHAnsi" w:cstheme="majorHAnsi"/>
        </w:rPr>
        <w:t>, and V</w:t>
      </w:r>
      <w:r>
        <w:rPr>
          <w:rFonts w:asciiTheme="majorHAnsi" w:hAnsiTheme="majorHAnsi" w:cstheme="majorHAnsi"/>
        </w:rPr>
        <w:t>irginia</w:t>
      </w:r>
      <w:r w:rsidRPr="00C021CF">
        <w:rPr>
          <w:rFonts w:asciiTheme="majorHAnsi" w:hAnsiTheme="majorHAnsi" w:cstheme="majorHAnsi"/>
        </w:rPr>
        <w:t>.</w:t>
      </w:r>
      <w:r>
        <w:rPr>
          <w:rStyle w:val="FootnoteReference"/>
          <w:rFonts w:asciiTheme="majorHAnsi" w:hAnsiTheme="majorHAnsi" w:cstheme="majorHAnsi"/>
        </w:rPr>
        <w:footnoteReference w:id="12"/>
      </w:r>
      <w:r w:rsidRPr="00C021CF">
        <w:rPr>
          <w:rFonts w:asciiTheme="majorHAnsi" w:hAnsiTheme="majorHAnsi" w:cstheme="majorHAnsi"/>
        </w:rPr>
        <w:t xml:space="preserve">  </w:t>
      </w:r>
      <w:r>
        <w:rPr>
          <w:rFonts w:asciiTheme="majorHAnsi" w:hAnsiTheme="majorHAnsi" w:cstheme="majorHAnsi"/>
        </w:rPr>
        <w:t>Hawai’i,</w:t>
      </w:r>
      <w:r>
        <w:rPr>
          <w:rStyle w:val="FootnoteReference"/>
          <w:rFonts w:asciiTheme="majorHAnsi" w:hAnsiTheme="majorHAnsi" w:cstheme="majorHAnsi"/>
        </w:rPr>
        <w:footnoteReference w:id="13"/>
      </w:r>
      <w:r>
        <w:rPr>
          <w:rFonts w:asciiTheme="majorHAnsi" w:hAnsiTheme="majorHAnsi" w:cstheme="majorHAnsi"/>
        </w:rPr>
        <w:t xml:space="preserve"> Florida,</w:t>
      </w:r>
      <w:r>
        <w:rPr>
          <w:rStyle w:val="FootnoteReference"/>
          <w:rFonts w:asciiTheme="majorHAnsi" w:hAnsiTheme="majorHAnsi" w:cstheme="majorHAnsi"/>
        </w:rPr>
        <w:footnoteReference w:id="14"/>
      </w:r>
      <w:r>
        <w:rPr>
          <w:rFonts w:asciiTheme="majorHAnsi" w:hAnsiTheme="majorHAnsi" w:cstheme="majorHAnsi"/>
        </w:rPr>
        <w:t xml:space="preserve"> Georgia,</w:t>
      </w:r>
      <w:r>
        <w:rPr>
          <w:rStyle w:val="FootnoteReference"/>
          <w:rFonts w:asciiTheme="majorHAnsi" w:hAnsiTheme="majorHAnsi" w:cstheme="majorHAnsi"/>
        </w:rPr>
        <w:footnoteReference w:id="15"/>
      </w:r>
      <w:r>
        <w:rPr>
          <w:rFonts w:asciiTheme="majorHAnsi" w:hAnsiTheme="majorHAnsi" w:cstheme="majorHAnsi"/>
        </w:rPr>
        <w:t xml:space="preserve"> Missouri</w:t>
      </w:r>
      <w:r w:rsidR="000161DD">
        <w:rPr>
          <w:rFonts w:asciiTheme="majorHAnsi" w:hAnsiTheme="majorHAnsi" w:cstheme="majorHAnsi"/>
        </w:rPr>
        <w:t>,</w:t>
      </w:r>
      <w:r>
        <w:rPr>
          <w:rStyle w:val="FootnoteReference"/>
          <w:rFonts w:asciiTheme="majorHAnsi" w:hAnsiTheme="majorHAnsi" w:cstheme="majorHAnsi"/>
        </w:rPr>
        <w:footnoteReference w:id="16"/>
      </w:r>
      <w:r>
        <w:rPr>
          <w:rFonts w:asciiTheme="majorHAnsi" w:hAnsiTheme="majorHAnsi" w:cstheme="majorHAnsi"/>
        </w:rPr>
        <w:t xml:space="preserve"> and Ohio</w:t>
      </w:r>
      <w:r>
        <w:rPr>
          <w:rStyle w:val="FootnoteReference"/>
          <w:rFonts w:asciiTheme="majorHAnsi" w:hAnsiTheme="majorHAnsi" w:cstheme="majorHAnsi"/>
        </w:rPr>
        <w:footnoteReference w:id="17"/>
      </w:r>
      <w:r>
        <w:rPr>
          <w:rFonts w:asciiTheme="majorHAnsi" w:hAnsiTheme="majorHAnsi" w:cstheme="majorHAnsi"/>
        </w:rPr>
        <w:t xml:space="preserve"> have divisions focused on representing and defending state agencies in lawsuits brought under federal and state employment laws, such as </w:t>
      </w:r>
      <w:r w:rsidRPr="005C0BE3">
        <w:rPr>
          <w:rFonts w:asciiTheme="majorHAnsi" w:hAnsiTheme="majorHAnsi" w:cstheme="majorHAnsi"/>
        </w:rPr>
        <w:t>Title VII of the Civil Rights Act of 1964,</w:t>
      </w:r>
      <w:r>
        <w:rPr>
          <w:rFonts w:asciiTheme="majorHAnsi" w:hAnsiTheme="majorHAnsi" w:cstheme="majorHAnsi"/>
        </w:rPr>
        <w:t xml:space="preserve"> </w:t>
      </w:r>
      <w:r w:rsidRPr="005C0BE3">
        <w:rPr>
          <w:rFonts w:asciiTheme="majorHAnsi" w:hAnsiTheme="majorHAnsi" w:cstheme="majorHAnsi"/>
        </w:rPr>
        <w:t>whistle-blower</w:t>
      </w:r>
      <w:r>
        <w:rPr>
          <w:rFonts w:asciiTheme="majorHAnsi" w:hAnsiTheme="majorHAnsi" w:cstheme="majorHAnsi"/>
        </w:rPr>
        <w:t xml:space="preserve"> protections, and the </w:t>
      </w:r>
      <w:r w:rsidRPr="005C0BE3">
        <w:rPr>
          <w:rFonts w:asciiTheme="majorHAnsi" w:hAnsiTheme="majorHAnsi" w:cstheme="majorHAnsi"/>
        </w:rPr>
        <w:t>Age Discrimination in Employment Act</w:t>
      </w:r>
      <w:r>
        <w:rPr>
          <w:rFonts w:asciiTheme="majorHAnsi" w:hAnsiTheme="majorHAnsi" w:cstheme="majorHAnsi"/>
        </w:rPr>
        <w:t>.  Several AGOs, such as Washington, Colorado, Rhode Island, Wisconsin, North Carolina, Connecticut, and Vermont, have dedicated staff in other units, such as public protection divisions, who work to combat wage theft and misclassification of employees.</w:t>
      </w:r>
      <w:r>
        <w:rPr>
          <w:rStyle w:val="FootnoteReference"/>
          <w:rFonts w:asciiTheme="majorHAnsi" w:hAnsiTheme="majorHAnsi" w:cstheme="majorHAnsi"/>
        </w:rPr>
        <w:footnoteReference w:customMarkFollows="1" w:id="18"/>
        <w:t>18</w:t>
      </w:r>
      <w:r>
        <w:rPr>
          <w:rFonts w:asciiTheme="majorHAnsi" w:hAnsiTheme="majorHAnsi" w:cstheme="majorHAnsi"/>
        </w:rPr>
        <w:t xml:space="preserve">  Still others have dedicated or embedded Assistant Attorneys General (AAG) in state labor agencies, who work on misclassification and wage theft cases.  Through these labor units and divisions, AGs have been able to protect and enhance workers’ rights and ensure fair labor and business practices.</w:t>
      </w:r>
    </w:p>
    <w:p w14:paraId="2B3BF28D" w14:textId="77777777" w:rsidR="00702C12" w:rsidRPr="00C021CF" w:rsidRDefault="00702C12" w:rsidP="002A3AB5">
      <w:pPr>
        <w:spacing w:line="240" w:lineRule="auto"/>
        <w:rPr>
          <w:rFonts w:asciiTheme="majorHAnsi" w:eastAsia="Calibri" w:hAnsiTheme="majorHAnsi" w:cstheme="majorHAnsi"/>
          <w:i/>
        </w:rPr>
      </w:pPr>
    </w:p>
    <w:p w14:paraId="35D4D6C0" w14:textId="77777777" w:rsidR="00702C12" w:rsidRPr="00C021CF" w:rsidRDefault="00702C12" w:rsidP="002A3AB5">
      <w:pPr>
        <w:spacing w:line="240" w:lineRule="auto"/>
        <w:rPr>
          <w:rFonts w:asciiTheme="majorHAnsi" w:eastAsia="Calibri" w:hAnsiTheme="majorHAnsi" w:cstheme="majorHAnsi"/>
          <w:b/>
          <w:u w:val="single"/>
        </w:rPr>
      </w:pPr>
      <w:r>
        <w:rPr>
          <w:rFonts w:asciiTheme="majorHAnsi" w:eastAsia="Calibri" w:hAnsiTheme="majorHAnsi" w:cstheme="majorHAnsi"/>
          <w:b/>
          <w:u w:val="single"/>
        </w:rPr>
        <w:t xml:space="preserve">The Authority of Attorneys General to Enforce Labor Laws to Address Misclassification and Wage Theft Varies Across the Country.  </w:t>
      </w:r>
    </w:p>
    <w:p w14:paraId="413F6130" w14:textId="77777777" w:rsidR="00702C12" w:rsidRPr="00C021CF" w:rsidRDefault="00702C12" w:rsidP="002A3AB5">
      <w:pPr>
        <w:spacing w:line="240" w:lineRule="auto"/>
        <w:rPr>
          <w:rFonts w:asciiTheme="majorHAnsi" w:eastAsia="Calibri" w:hAnsiTheme="majorHAnsi" w:cstheme="majorHAnsi"/>
          <w:b/>
          <w:u w:val="single"/>
        </w:rPr>
      </w:pPr>
    </w:p>
    <w:p w14:paraId="37803552" w14:textId="77777777" w:rsidR="00702C12" w:rsidRPr="00C021CF" w:rsidRDefault="00702C12" w:rsidP="002A3AB5">
      <w:pPr>
        <w:spacing w:line="240" w:lineRule="auto"/>
        <w:rPr>
          <w:rFonts w:asciiTheme="majorHAnsi" w:hAnsiTheme="majorHAnsi" w:cstheme="majorHAnsi"/>
        </w:rPr>
      </w:pPr>
      <w:r w:rsidRPr="00C021CF">
        <w:rPr>
          <w:rFonts w:asciiTheme="majorHAnsi" w:hAnsiTheme="majorHAnsi" w:cstheme="majorHAnsi"/>
        </w:rPr>
        <w:t>AGs’ jurisdiction to enforce labor laws and fight wage theft varies.  Some AGs, such as MA, IL, and MN have explicit jurisdiction.</w:t>
      </w:r>
      <w:r>
        <w:rPr>
          <w:rFonts w:asciiTheme="majorHAnsi" w:hAnsiTheme="majorHAnsi" w:cstheme="majorHAnsi"/>
        </w:rPr>
        <w:t xml:space="preserve"> For example, MA’s Attorney General has sole authority to enforce the Commonwealth’s wage and hour laws.</w:t>
      </w:r>
      <w:r>
        <w:rPr>
          <w:rStyle w:val="FootnoteReference"/>
          <w:rFonts w:asciiTheme="majorHAnsi" w:hAnsiTheme="majorHAnsi" w:cstheme="majorHAnsi"/>
        </w:rPr>
        <w:footnoteReference w:customMarkFollows="1" w:id="19"/>
        <w:t>19</w:t>
      </w:r>
      <w:r w:rsidRPr="00C021CF">
        <w:rPr>
          <w:rFonts w:asciiTheme="majorHAnsi" w:hAnsiTheme="majorHAnsi" w:cstheme="majorHAnsi"/>
        </w:rPr>
        <w:t xml:space="preserve"> </w:t>
      </w:r>
      <w:r>
        <w:rPr>
          <w:rFonts w:asciiTheme="majorHAnsi" w:hAnsiTheme="majorHAnsi" w:cstheme="majorHAnsi"/>
        </w:rPr>
        <w:t xml:space="preserve"> In IL, the legislature created a unit in the Attorney General’s Office with the “power and duty…to intervene, initiate, and enforce all legal proceedings on matters related to payment of wages….”</w:t>
      </w:r>
      <w:r>
        <w:rPr>
          <w:rStyle w:val="FootnoteReference"/>
          <w:rFonts w:asciiTheme="majorHAnsi" w:hAnsiTheme="majorHAnsi" w:cstheme="majorHAnsi"/>
        </w:rPr>
        <w:footnoteReference w:customMarkFollows="1" w:id="20"/>
        <w:t>20</w:t>
      </w:r>
      <w:r>
        <w:rPr>
          <w:rFonts w:asciiTheme="majorHAnsi" w:hAnsiTheme="majorHAnsi" w:cstheme="majorHAnsi"/>
        </w:rPr>
        <w:t xml:space="preserve">  The MN legislature expressly conveyed enforcement authority to both the Department of Labor and the Attorney General.</w:t>
      </w:r>
      <w:r>
        <w:rPr>
          <w:rStyle w:val="FootnoteReference"/>
          <w:rFonts w:asciiTheme="majorHAnsi" w:hAnsiTheme="majorHAnsi" w:cstheme="majorHAnsi"/>
        </w:rPr>
        <w:t xml:space="preserve"> </w:t>
      </w:r>
      <w:r>
        <w:rPr>
          <w:rStyle w:val="FootnoteReference"/>
          <w:rFonts w:asciiTheme="majorHAnsi" w:hAnsiTheme="majorHAnsi" w:cstheme="majorHAnsi"/>
        </w:rPr>
        <w:footnoteReference w:customMarkFollows="1" w:id="21"/>
        <w:t>21</w:t>
      </w:r>
      <w:r>
        <w:rPr>
          <w:rFonts w:asciiTheme="majorHAnsi" w:hAnsiTheme="majorHAnsi" w:cstheme="majorHAnsi"/>
        </w:rPr>
        <w:t xml:space="preserve"> </w:t>
      </w:r>
      <w:r w:rsidRPr="00C021CF">
        <w:rPr>
          <w:rFonts w:asciiTheme="majorHAnsi" w:hAnsiTheme="majorHAnsi" w:cstheme="majorHAnsi"/>
        </w:rPr>
        <w:t xml:space="preserve"> Others rely more </w:t>
      </w:r>
      <w:r>
        <w:rPr>
          <w:rFonts w:asciiTheme="majorHAnsi" w:hAnsiTheme="majorHAnsi" w:cstheme="majorHAnsi"/>
        </w:rPr>
        <w:t xml:space="preserve">on </w:t>
      </w:r>
      <w:r w:rsidRPr="00C021CF">
        <w:rPr>
          <w:rFonts w:asciiTheme="majorHAnsi" w:hAnsiTheme="majorHAnsi" w:cstheme="majorHAnsi"/>
        </w:rPr>
        <w:t xml:space="preserve">general statutes.  </w:t>
      </w:r>
      <w:r>
        <w:rPr>
          <w:rFonts w:asciiTheme="majorHAnsi" w:hAnsiTheme="majorHAnsi" w:cstheme="majorHAnsi"/>
        </w:rPr>
        <w:t>For example,</w:t>
      </w:r>
      <w:r w:rsidRPr="00C021CF">
        <w:rPr>
          <w:rFonts w:asciiTheme="majorHAnsi" w:hAnsiTheme="majorHAnsi" w:cstheme="majorHAnsi"/>
        </w:rPr>
        <w:t xml:space="preserve"> states may also rely upon </w:t>
      </w:r>
      <w:r w:rsidRPr="00627E96">
        <w:rPr>
          <w:rFonts w:asciiTheme="majorHAnsi" w:hAnsiTheme="majorHAnsi" w:cstheme="majorHAnsi"/>
          <w:i/>
          <w:iCs/>
        </w:rPr>
        <w:t>parents patriae</w:t>
      </w:r>
      <w:r w:rsidRPr="00C021CF">
        <w:rPr>
          <w:rFonts w:asciiTheme="majorHAnsi" w:hAnsiTheme="majorHAnsi" w:cstheme="majorHAnsi"/>
        </w:rPr>
        <w:t xml:space="preserve"> authority, where they act to protect the well being of their residents.</w:t>
      </w:r>
      <w:r>
        <w:rPr>
          <w:rStyle w:val="FootnoteReference"/>
          <w:rFonts w:asciiTheme="majorHAnsi" w:hAnsiTheme="majorHAnsi" w:cstheme="majorHAnsi"/>
        </w:rPr>
        <w:t xml:space="preserve"> </w:t>
      </w:r>
      <w:r>
        <w:rPr>
          <w:rStyle w:val="FootnoteReference"/>
          <w:rFonts w:asciiTheme="majorHAnsi" w:hAnsiTheme="majorHAnsi" w:cstheme="majorHAnsi"/>
        </w:rPr>
        <w:footnoteReference w:customMarkFollows="1" w:id="22"/>
        <w:t>22</w:t>
      </w:r>
      <w:r w:rsidRPr="00C021CF">
        <w:rPr>
          <w:rFonts w:asciiTheme="majorHAnsi" w:hAnsiTheme="majorHAnsi" w:cstheme="majorHAnsi"/>
        </w:rPr>
        <w:t xml:space="preserve">  Selected examples of AG enforcement actions regarding </w:t>
      </w:r>
      <w:r>
        <w:rPr>
          <w:rFonts w:asciiTheme="majorHAnsi" w:hAnsiTheme="majorHAnsi" w:cstheme="majorHAnsi"/>
        </w:rPr>
        <w:t xml:space="preserve">worker misclassification and </w:t>
      </w:r>
      <w:r w:rsidRPr="00C021CF">
        <w:rPr>
          <w:rFonts w:asciiTheme="majorHAnsi" w:hAnsiTheme="majorHAnsi" w:cstheme="majorHAnsi"/>
        </w:rPr>
        <w:t>wage theft include:</w:t>
      </w:r>
    </w:p>
    <w:p w14:paraId="4C8A5E2F" w14:textId="77777777" w:rsidR="00702C12" w:rsidRPr="00C021CF" w:rsidRDefault="00702C12" w:rsidP="002A3AB5">
      <w:pPr>
        <w:spacing w:line="240" w:lineRule="auto"/>
        <w:rPr>
          <w:rFonts w:asciiTheme="majorHAnsi" w:hAnsiTheme="majorHAnsi" w:cstheme="majorHAnsi"/>
        </w:rPr>
      </w:pPr>
    </w:p>
    <w:p w14:paraId="734C1148" w14:textId="77777777" w:rsidR="00702C12" w:rsidRPr="00C021CF" w:rsidRDefault="00702C12" w:rsidP="0058265A">
      <w:pPr>
        <w:pStyle w:val="ListParagraph"/>
        <w:numPr>
          <w:ilvl w:val="0"/>
          <w:numId w:val="1"/>
        </w:numPr>
        <w:rPr>
          <w:rFonts w:asciiTheme="majorHAnsi" w:hAnsiTheme="majorHAnsi" w:cstheme="majorHAnsi"/>
        </w:rPr>
      </w:pPr>
      <w:r w:rsidRPr="00C021CF">
        <w:rPr>
          <w:rFonts w:asciiTheme="majorHAnsi" w:hAnsiTheme="majorHAnsi" w:cstheme="majorHAnsi"/>
        </w:rPr>
        <w:lastRenderedPageBreak/>
        <w:t>DC AG obtained $2.25 million (including $1.5 million in restitution) against DoorDash in 2021 for pocketing tips owed to delivery workers.</w:t>
      </w:r>
      <w:r>
        <w:rPr>
          <w:rStyle w:val="FootnoteReference"/>
          <w:rFonts w:asciiTheme="majorHAnsi" w:hAnsiTheme="majorHAnsi" w:cstheme="majorHAnsi"/>
        </w:rPr>
        <w:footnoteReference w:customMarkFollows="1" w:id="23"/>
        <w:t>23</w:t>
      </w:r>
      <w:r w:rsidRPr="00C021CF">
        <w:rPr>
          <w:rFonts w:asciiTheme="majorHAnsi" w:hAnsiTheme="majorHAnsi" w:cstheme="majorHAnsi"/>
        </w:rPr>
        <w:t xml:space="preserve">  </w:t>
      </w:r>
    </w:p>
    <w:p w14:paraId="483FD9B0" w14:textId="77777777" w:rsidR="00702C12" w:rsidRPr="00C021CF" w:rsidRDefault="00702C12" w:rsidP="0058265A">
      <w:pPr>
        <w:pStyle w:val="ListParagraph"/>
        <w:numPr>
          <w:ilvl w:val="0"/>
          <w:numId w:val="1"/>
        </w:numPr>
        <w:rPr>
          <w:rFonts w:asciiTheme="majorHAnsi" w:hAnsiTheme="majorHAnsi" w:cstheme="majorHAnsi"/>
        </w:rPr>
      </w:pPr>
      <w:r w:rsidRPr="00C021CF">
        <w:rPr>
          <w:rFonts w:asciiTheme="majorHAnsi" w:hAnsiTheme="majorHAnsi" w:cstheme="majorHAnsi"/>
        </w:rPr>
        <w:t>NY, PA, and RI AGs brought criminal charges against construction contractors for wage theft.</w:t>
      </w:r>
      <w:r>
        <w:rPr>
          <w:rStyle w:val="FootnoteReference"/>
          <w:rFonts w:asciiTheme="majorHAnsi" w:hAnsiTheme="majorHAnsi" w:cstheme="majorHAnsi"/>
        </w:rPr>
        <w:footnoteReference w:customMarkFollows="1" w:id="24"/>
        <w:t>24</w:t>
      </w:r>
    </w:p>
    <w:p w14:paraId="548F0961" w14:textId="77777777" w:rsidR="00702C12" w:rsidRPr="00C021CF" w:rsidRDefault="00702C12" w:rsidP="0058265A">
      <w:pPr>
        <w:pStyle w:val="ListParagraph"/>
        <w:numPr>
          <w:ilvl w:val="0"/>
          <w:numId w:val="1"/>
        </w:numPr>
        <w:rPr>
          <w:rFonts w:asciiTheme="majorHAnsi" w:hAnsiTheme="majorHAnsi" w:cstheme="majorHAnsi"/>
        </w:rPr>
      </w:pPr>
      <w:r w:rsidRPr="00C021CF">
        <w:rPr>
          <w:rFonts w:asciiTheme="majorHAnsi" w:hAnsiTheme="majorHAnsi" w:cstheme="majorHAnsi"/>
        </w:rPr>
        <w:t>I</w:t>
      </w:r>
      <w:r>
        <w:rPr>
          <w:rFonts w:asciiTheme="majorHAnsi" w:hAnsiTheme="majorHAnsi" w:cstheme="majorHAnsi"/>
        </w:rPr>
        <w:t>L</w:t>
      </w:r>
      <w:r w:rsidRPr="00C021CF">
        <w:rPr>
          <w:rFonts w:asciiTheme="majorHAnsi" w:hAnsiTheme="majorHAnsi" w:cstheme="majorHAnsi"/>
        </w:rPr>
        <w:t xml:space="preserve"> AG obtained $390k settlement against Rivian Automotive for unpaid overtime.</w:t>
      </w:r>
      <w:r>
        <w:rPr>
          <w:rStyle w:val="FootnoteReference"/>
          <w:rFonts w:asciiTheme="majorHAnsi" w:hAnsiTheme="majorHAnsi" w:cstheme="majorHAnsi"/>
        </w:rPr>
        <w:t xml:space="preserve"> </w:t>
      </w:r>
      <w:r>
        <w:rPr>
          <w:rStyle w:val="FootnoteReference"/>
          <w:rFonts w:asciiTheme="majorHAnsi" w:hAnsiTheme="majorHAnsi" w:cstheme="majorHAnsi"/>
        </w:rPr>
        <w:footnoteReference w:customMarkFollows="1" w:id="25"/>
        <w:t>25</w:t>
      </w:r>
    </w:p>
    <w:p w14:paraId="0E67C348" w14:textId="77777777" w:rsidR="00702C12" w:rsidRPr="00C021CF" w:rsidRDefault="00702C12" w:rsidP="00CF442E">
      <w:pPr>
        <w:pStyle w:val="ListParagraph"/>
        <w:numPr>
          <w:ilvl w:val="0"/>
          <w:numId w:val="1"/>
        </w:numPr>
        <w:rPr>
          <w:rFonts w:asciiTheme="majorHAnsi" w:hAnsiTheme="majorHAnsi" w:cstheme="majorHAnsi"/>
        </w:rPr>
      </w:pPr>
      <w:r w:rsidRPr="00C021CF">
        <w:rPr>
          <w:rFonts w:asciiTheme="majorHAnsi" w:hAnsiTheme="majorHAnsi" w:cstheme="majorHAnsi"/>
        </w:rPr>
        <w:t>C</w:t>
      </w:r>
      <w:r>
        <w:rPr>
          <w:rFonts w:asciiTheme="majorHAnsi" w:hAnsiTheme="majorHAnsi" w:cstheme="majorHAnsi"/>
        </w:rPr>
        <w:t>A</w:t>
      </w:r>
      <w:r w:rsidRPr="00C021CF">
        <w:rPr>
          <w:rFonts w:asciiTheme="majorHAnsi" w:hAnsiTheme="majorHAnsi" w:cstheme="majorHAnsi"/>
        </w:rPr>
        <w:t xml:space="preserve"> AG obtained guilty verdict for human trafficking and labor related charges arising from an adult residential and child care company.</w:t>
      </w:r>
      <w:r>
        <w:rPr>
          <w:rStyle w:val="FootnoteReference"/>
          <w:rFonts w:asciiTheme="majorHAnsi" w:hAnsiTheme="majorHAnsi" w:cstheme="majorHAnsi"/>
        </w:rPr>
        <w:footnoteReference w:customMarkFollows="1" w:id="26"/>
        <w:t>26</w:t>
      </w:r>
    </w:p>
    <w:p w14:paraId="3DBB49FE" w14:textId="77777777" w:rsidR="00702C12" w:rsidRPr="00C021CF" w:rsidRDefault="00702C12" w:rsidP="002A3AB5">
      <w:pPr>
        <w:spacing w:line="240" w:lineRule="auto"/>
        <w:rPr>
          <w:rFonts w:asciiTheme="majorHAnsi" w:hAnsiTheme="majorHAnsi" w:cstheme="majorHAnsi"/>
        </w:rPr>
      </w:pPr>
      <w:r>
        <w:rPr>
          <w:rFonts w:asciiTheme="majorHAnsi" w:hAnsiTheme="majorHAnsi" w:cstheme="majorHAnsi"/>
        </w:rPr>
        <w:t xml:space="preserve">AGs have also used the power of their office to address worker misclassification and wage theft issues. </w:t>
      </w:r>
      <w:r w:rsidRPr="00C021CF">
        <w:rPr>
          <w:rFonts w:asciiTheme="majorHAnsi" w:hAnsiTheme="majorHAnsi" w:cstheme="majorHAnsi"/>
        </w:rPr>
        <w:t xml:space="preserve">Public advocacy by AGs to address wage theft </w:t>
      </w:r>
      <w:r>
        <w:rPr>
          <w:rFonts w:asciiTheme="majorHAnsi" w:hAnsiTheme="majorHAnsi" w:cstheme="majorHAnsi"/>
        </w:rPr>
        <w:t xml:space="preserve">and worker misclassification </w:t>
      </w:r>
      <w:r w:rsidRPr="00C021CF">
        <w:rPr>
          <w:rFonts w:asciiTheme="majorHAnsi" w:hAnsiTheme="majorHAnsi" w:cstheme="majorHAnsi"/>
        </w:rPr>
        <w:t>have included:</w:t>
      </w:r>
    </w:p>
    <w:p w14:paraId="55126EE3" w14:textId="77777777" w:rsidR="00702C12" w:rsidRPr="00C021CF" w:rsidRDefault="00702C12" w:rsidP="0058265A">
      <w:pPr>
        <w:rPr>
          <w:rFonts w:asciiTheme="majorHAnsi" w:hAnsiTheme="majorHAnsi" w:cstheme="majorHAnsi"/>
        </w:rPr>
      </w:pPr>
    </w:p>
    <w:p w14:paraId="3F34DD98" w14:textId="77777777" w:rsidR="00702C12" w:rsidRPr="00C021CF" w:rsidRDefault="00702C12" w:rsidP="0058265A">
      <w:pPr>
        <w:pStyle w:val="ListParagraph"/>
        <w:numPr>
          <w:ilvl w:val="0"/>
          <w:numId w:val="2"/>
        </w:numPr>
        <w:rPr>
          <w:rFonts w:asciiTheme="majorHAnsi" w:hAnsiTheme="majorHAnsi" w:cstheme="majorHAnsi"/>
        </w:rPr>
      </w:pPr>
      <w:r w:rsidRPr="00C021CF">
        <w:rPr>
          <w:rFonts w:asciiTheme="majorHAnsi" w:hAnsiTheme="majorHAnsi" w:cstheme="majorHAnsi"/>
        </w:rPr>
        <w:t>Amicus brief (led by IL and joined by 1</w:t>
      </w:r>
      <w:r>
        <w:rPr>
          <w:rFonts w:asciiTheme="majorHAnsi" w:hAnsiTheme="majorHAnsi" w:cstheme="majorHAnsi"/>
        </w:rPr>
        <w:t>9</w:t>
      </w:r>
      <w:r w:rsidRPr="00C021CF">
        <w:rPr>
          <w:rFonts w:asciiTheme="majorHAnsi" w:hAnsiTheme="majorHAnsi" w:cstheme="majorHAnsi"/>
        </w:rPr>
        <w:t xml:space="preserve"> additional states) supporting minimum wage protections for federal contractors.  </w:t>
      </w:r>
      <w:r w:rsidRPr="00C021CF">
        <w:rPr>
          <w:rFonts w:asciiTheme="majorHAnsi" w:hAnsiTheme="majorHAnsi" w:cstheme="majorHAnsi"/>
          <w:i/>
          <w:iCs/>
        </w:rPr>
        <w:t>Bradford v. Department of Labor</w:t>
      </w:r>
      <w:r w:rsidRPr="00C021CF">
        <w:rPr>
          <w:rFonts w:asciiTheme="majorHAnsi" w:hAnsiTheme="majorHAnsi" w:cstheme="majorHAnsi"/>
        </w:rPr>
        <w:t>, Docket No. 22-1023 (10</w:t>
      </w:r>
      <w:r w:rsidRPr="00C021CF">
        <w:rPr>
          <w:rFonts w:asciiTheme="majorHAnsi" w:hAnsiTheme="majorHAnsi" w:cstheme="majorHAnsi"/>
          <w:vertAlign w:val="superscript"/>
        </w:rPr>
        <w:t>th</w:t>
      </w:r>
      <w:r w:rsidRPr="00C021CF">
        <w:rPr>
          <w:rFonts w:asciiTheme="majorHAnsi" w:hAnsiTheme="majorHAnsi" w:cstheme="majorHAnsi"/>
        </w:rPr>
        <w:t xml:space="preserve"> Circuit 2022).</w:t>
      </w:r>
      <w:r>
        <w:rPr>
          <w:rStyle w:val="FootnoteReference"/>
          <w:rFonts w:asciiTheme="majorHAnsi" w:hAnsiTheme="majorHAnsi" w:cstheme="majorHAnsi"/>
        </w:rPr>
        <w:t xml:space="preserve"> </w:t>
      </w:r>
      <w:r>
        <w:rPr>
          <w:rStyle w:val="FootnoteReference"/>
          <w:rFonts w:asciiTheme="majorHAnsi" w:hAnsiTheme="majorHAnsi" w:cstheme="majorHAnsi"/>
        </w:rPr>
        <w:footnoteReference w:customMarkFollows="1" w:id="27"/>
        <w:t>27</w:t>
      </w:r>
    </w:p>
    <w:p w14:paraId="6A25F5F8" w14:textId="77777777" w:rsidR="00702C12" w:rsidRPr="006E103B" w:rsidRDefault="00702C12" w:rsidP="002A3AB5">
      <w:pPr>
        <w:pStyle w:val="ListParagraph"/>
        <w:numPr>
          <w:ilvl w:val="0"/>
          <w:numId w:val="2"/>
        </w:numPr>
        <w:rPr>
          <w:rFonts w:asciiTheme="majorHAnsi" w:hAnsiTheme="majorHAnsi" w:cstheme="majorHAnsi"/>
        </w:rPr>
      </w:pPr>
      <w:r w:rsidRPr="006E103B">
        <w:rPr>
          <w:rFonts w:asciiTheme="majorHAnsi" w:hAnsiTheme="majorHAnsi" w:cstheme="majorHAnsi"/>
        </w:rPr>
        <w:t xml:space="preserve">Letter to </w:t>
      </w:r>
      <w:r>
        <w:rPr>
          <w:rFonts w:asciiTheme="majorHAnsi" w:hAnsiTheme="majorHAnsi" w:cstheme="majorHAnsi"/>
        </w:rPr>
        <w:t>the Dpeartment of Homeland Security</w:t>
      </w:r>
      <w:r w:rsidRPr="006E103B">
        <w:rPr>
          <w:rFonts w:asciiTheme="majorHAnsi" w:hAnsiTheme="majorHAnsi" w:cstheme="majorHAnsi"/>
        </w:rPr>
        <w:t xml:space="preserve"> (CA, IL, MA, NY, DE, NJ, MI, MN, NM, WA, and DC) </w:t>
      </w:r>
      <w:r>
        <w:rPr>
          <w:rFonts w:asciiTheme="majorHAnsi" w:hAnsiTheme="majorHAnsi" w:cstheme="majorHAnsi"/>
        </w:rPr>
        <w:t>in support of the agency’s efforts to “</w:t>
      </w:r>
      <w:r w:rsidRPr="006E103B">
        <w:rPr>
          <w:rFonts w:asciiTheme="majorHAnsi" w:hAnsiTheme="majorHAnsi" w:cstheme="majorHAnsi"/>
        </w:rPr>
        <w:t>change its worksite enforcement practices to support enforcement of wage protections, workplace safety, labor rights, and other employment laws and standard</w:t>
      </w:r>
      <w:r>
        <w:rPr>
          <w:rFonts w:asciiTheme="majorHAnsi" w:hAnsiTheme="majorHAnsi" w:cstheme="majorHAnsi"/>
        </w:rPr>
        <w:t>s.”</w:t>
      </w:r>
      <w:r>
        <w:rPr>
          <w:rStyle w:val="FootnoteReference"/>
          <w:rFonts w:asciiTheme="majorHAnsi" w:hAnsiTheme="majorHAnsi" w:cstheme="majorHAnsi"/>
        </w:rPr>
        <w:footnoteReference w:customMarkFollows="1" w:id="28"/>
        <w:t>28</w:t>
      </w:r>
      <w:r w:rsidRPr="006E103B">
        <w:rPr>
          <w:rFonts w:asciiTheme="majorHAnsi" w:hAnsiTheme="majorHAnsi" w:cstheme="majorHAnsi"/>
        </w:rPr>
        <w:t xml:space="preserve">  </w:t>
      </w:r>
    </w:p>
    <w:p w14:paraId="4D5A1E8F" w14:textId="77777777" w:rsidR="00702C12" w:rsidRPr="00C021CF" w:rsidRDefault="00702C12" w:rsidP="002A3AB5">
      <w:pPr>
        <w:pStyle w:val="ListParagraph"/>
        <w:numPr>
          <w:ilvl w:val="0"/>
          <w:numId w:val="2"/>
        </w:numPr>
        <w:spacing w:after="0" w:line="240" w:lineRule="auto"/>
        <w:rPr>
          <w:rFonts w:asciiTheme="majorHAnsi" w:hAnsiTheme="majorHAnsi" w:cstheme="majorHAnsi"/>
        </w:rPr>
      </w:pPr>
      <w:r>
        <w:rPr>
          <w:rFonts w:asciiTheme="majorHAnsi" w:hAnsiTheme="majorHAnsi" w:cstheme="majorHAnsi"/>
        </w:rPr>
        <w:t>In 2021, PA and 8 AGs filed a m</w:t>
      </w:r>
      <w:r w:rsidRPr="006E103B">
        <w:rPr>
          <w:rFonts w:asciiTheme="majorHAnsi" w:hAnsiTheme="majorHAnsi" w:cstheme="majorHAnsi"/>
        </w:rPr>
        <w:t>ulti-state lawsuit challenging a Trump Administration rule</w:t>
      </w:r>
      <w:r>
        <w:rPr>
          <w:rFonts w:asciiTheme="majorHAnsi" w:hAnsiTheme="majorHAnsi" w:cstheme="majorHAnsi"/>
        </w:rPr>
        <w:t>, the Tip Regulations Under the Fair Labor Standards Act, which</w:t>
      </w:r>
      <w:r w:rsidRPr="006E103B">
        <w:rPr>
          <w:rFonts w:asciiTheme="majorHAnsi" w:hAnsiTheme="majorHAnsi" w:cstheme="majorHAnsi"/>
        </w:rPr>
        <w:t xml:space="preserve"> ma</w:t>
      </w:r>
      <w:r>
        <w:rPr>
          <w:rFonts w:asciiTheme="majorHAnsi" w:hAnsiTheme="majorHAnsi" w:cstheme="majorHAnsi"/>
        </w:rPr>
        <w:t>de</w:t>
      </w:r>
      <w:r w:rsidRPr="006E103B">
        <w:rPr>
          <w:rFonts w:asciiTheme="majorHAnsi" w:hAnsiTheme="majorHAnsi" w:cstheme="majorHAnsi"/>
        </w:rPr>
        <w:t xml:space="preserve"> it easier for employers to assign non tipped work</w:t>
      </w:r>
      <w:r>
        <w:rPr>
          <w:rFonts w:asciiTheme="majorHAnsi" w:hAnsiTheme="majorHAnsi" w:cstheme="majorHAnsi"/>
        </w:rPr>
        <w:t>, such as preparing food and setting tables,</w:t>
      </w:r>
      <w:r w:rsidRPr="006E103B">
        <w:rPr>
          <w:rFonts w:asciiTheme="majorHAnsi" w:hAnsiTheme="majorHAnsi" w:cstheme="majorHAnsi"/>
        </w:rPr>
        <w:t xml:space="preserve"> to tipped employees</w:t>
      </w:r>
      <w:r>
        <w:rPr>
          <w:rFonts w:asciiTheme="majorHAnsi" w:hAnsiTheme="majorHAnsi" w:cstheme="majorHAnsi"/>
        </w:rPr>
        <w:t>.  This l</w:t>
      </w:r>
      <w:r w:rsidRPr="00C021CF">
        <w:rPr>
          <w:rFonts w:asciiTheme="majorHAnsi" w:hAnsiTheme="majorHAnsi" w:cstheme="majorHAnsi"/>
        </w:rPr>
        <w:t>awsuit was resolved in November 2021, creating a 20% cap on the amount of non-tipped work</w:t>
      </w:r>
      <w:r>
        <w:rPr>
          <w:rFonts w:asciiTheme="majorHAnsi" w:hAnsiTheme="majorHAnsi" w:cstheme="majorHAnsi"/>
        </w:rPr>
        <w:t xml:space="preserve"> tipped workers could complete</w:t>
      </w:r>
      <w:r w:rsidRPr="00C021CF">
        <w:rPr>
          <w:rFonts w:asciiTheme="majorHAnsi" w:hAnsiTheme="majorHAnsi" w:cstheme="majorHAnsi"/>
        </w:rPr>
        <w:t>.</w:t>
      </w:r>
      <w:r>
        <w:rPr>
          <w:rStyle w:val="FootnoteReference"/>
          <w:rFonts w:asciiTheme="majorHAnsi" w:hAnsiTheme="majorHAnsi" w:cstheme="majorHAnsi"/>
        </w:rPr>
        <w:footnoteReference w:customMarkFollows="1" w:id="29"/>
        <w:t>29</w:t>
      </w:r>
      <w:r w:rsidRPr="00C021CF">
        <w:rPr>
          <w:rFonts w:asciiTheme="majorHAnsi" w:hAnsiTheme="majorHAnsi" w:cstheme="majorHAnsi"/>
        </w:rPr>
        <w:t xml:space="preserve">   </w:t>
      </w:r>
    </w:p>
    <w:p w14:paraId="15532A45" w14:textId="77777777" w:rsidR="00702C12" w:rsidRDefault="00702C12" w:rsidP="002A3AB5">
      <w:pPr>
        <w:spacing w:line="240" w:lineRule="auto"/>
        <w:rPr>
          <w:rFonts w:asciiTheme="majorHAnsi" w:eastAsia="Calibri" w:hAnsiTheme="majorHAnsi" w:cstheme="majorHAnsi"/>
          <w:b/>
          <w:u w:val="single"/>
        </w:rPr>
      </w:pPr>
    </w:p>
    <w:p w14:paraId="32895622" w14:textId="77777777" w:rsidR="00702C12" w:rsidRDefault="00702C12" w:rsidP="002A3AB5">
      <w:pPr>
        <w:spacing w:line="240" w:lineRule="auto"/>
        <w:rPr>
          <w:rFonts w:asciiTheme="majorHAnsi" w:eastAsia="Calibri" w:hAnsiTheme="majorHAnsi" w:cstheme="majorHAnsi"/>
          <w:b/>
          <w:u w:val="single"/>
        </w:rPr>
      </w:pPr>
    </w:p>
    <w:p w14:paraId="59BA319D" w14:textId="77777777" w:rsidR="00702C12" w:rsidRPr="00C021CF" w:rsidRDefault="00702C12" w:rsidP="002A3AB5">
      <w:pPr>
        <w:spacing w:line="240" w:lineRule="auto"/>
        <w:rPr>
          <w:rFonts w:asciiTheme="majorHAnsi" w:eastAsia="Calibri" w:hAnsiTheme="majorHAnsi" w:cstheme="majorHAnsi"/>
          <w:b/>
          <w:u w:val="single"/>
        </w:rPr>
      </w:pPr>
    </w:p>
    <w:p w14:paraId="570E3704" w14:textId="77777777" w:rsidR="00702C12" w:rsidRPr="00C021CF" w:rsidRDefault="00702C12" w:rsidP="00C31BF1">
      <w:pPr>
        <w:spacing w:line="240" w:lineRule="auto"/>
        <w:rPr>
          <w:rFonts w:asciiTheme="majorHAnsi" w:eastAsia="Calibri" w:hAnsiTheme="majorHAnsi" w:cstheme="majorHAnsi"/>
          <w:b/>
          <w:u w:val="single"/>
        </w:rPr>
      </w:pPr>
      <w:r>
        <w:rPr>
          <w:rFonts w:asciiTheme="majorHAnsi" w:eastAsia="Calibri" w:hAnsiTheme="majorHAnsi" w:cstheme="majorHAnsi"/>
          <w:b/>
          <w:u w:val="single"/>
        </w:rPr>
        <w:lastRenderedPageBreak/>
        <w:t xml:space="preserve">Issues on the Horizon for Attorneys General Include: Collaborations with Local Law Enforcement Agencies and the Private Bar; Addressing the Proliferation of Arbitration Clauses; and Child and Migrant Labor. </w:t>
      </w:r>
      <w:r w:rsidRPr="00C021CF">
        <w:rPr>
          <w:rFonts w:asciiTheme="majorHAnsi" w:eastAsia="Calibri" w:hAnsiTheme="majorHAnsi" w:cstheme="majorHAnsi"/>
          <w:b/>
          <w:u w:val="single"/>
        </w:rPr>
        <w:t xml:space="preserve"> </w:t>
      </w:r>
    </w:p>
    <w:p w14:paraId="57616C45" w14:textId="77777777" w:rsidR="00702C12" w:rsidRPr="00C021CF" w:rsidRDefault="00702C12" w:rsidP="00416B32">
      <w:pPr>
        <w:spacing w:line="240" w:lineRule="auto"/>
        <w:rPr>
          <w:rFonts w:asciiTheme="majorHAnsi" w:eastAsia="Calibri" w:hAnsiTheme="majorHAnsi" w:cstheme="majorHAnsi"/>
          <w:i/>
        </w:rPr>
      </w:pPr>
    </w:p>
    <w:p w14:paraId="4F836869" w14:textId="77777777" w:rsidR="00702C12" w:rsidRPr="00C021CF" w:rsidRDefault="00702C12" w:rsidP="00416B32">
      <w:pPr>
        <w:pStyle w:val="ListParagraph"/>
        <w:numPr>
          <w:ilvl w:val="0"/>
          <w:numId w:val="3"/>
        </w:numPr>
        <w:spacing w:after="0" w:line="240" w:lineRule="auto"/>
        <w:rPr>
          <w:rFonts w:asciiTheme="majorHAnsi" w:hAnsiTheme="majorHAnsi" w:cstheme="majorHAnsi"/>
        </w:rPr>
      </w:pPr>
      <w:r w:rsidRPr="00C31BF1">
        <w:rPr>
          <w:rFonts w:asciiTheme="majorHAnsi" w:hAnsiTheme="majorHAnsi" w:cstheme="majorHAnsi"/>
          <w:u w:val="single"/>
        </w:rPr>
        <w:t>Collaboration with Other Agencies and General Public to Enhance Enforcement</w:t>
      </w:r>
      <w:r w:rsidRPr="00C021CF">
        <w:rPr>
          <w:rFonts w:asciiTheme="majorHAnsi" w:hAnsiTheme="majorHAnsi" w:cstheme="majorHAnsi"/>
        </w:rPr>
        <w:t>.</w:t>
      </w:r>
    </w:p>
    <w:p w14:paraId="7F4959B6" w14:textId="77777777" w:rsidR="00702C12" w:rsidRPr="00C021CF" w:rsidRDefault="00702C12" w:rsidP="00C31BF1">
      <w:pPr>
        <w:spacing w:line="240" w:lineRule="auto"/>
        <w:ind w:right="-720"/>
        <w:rPr>
          <w:rFonts w:asciiTheme="majorHAnsi" w:hAnsiTheme="majorHAnsi" w:cstheme="majorHAnsi"/>
        </w:rPr>
      </w:pPr>
      <w:r>
        <w:rPr>
          <w:rFonts w:asciiTheme="majorHAnsi" w:hAnsiTheme="majorHAnsi" w:cstheme="majorHAnsi"/>
        </w:rPr>
        <w:t xml:space="preserve">The scope of employee misclassification and wage theft can far exceed the resources of an AG office to combat these problems, but many AG offices leverage </w:t>
      </w:r>
      <w:r w:rsidRPr="00C021CF">
        <w:rPr>
          <w:rFonts w:asciiTheme="majorHAnsi" w:hAnsiTheme="majorHAnsi" w:cstheme="majorHAnsi"/>
        </w:rPr>
        <w:t xml:space="preserve">collaborations between </w:t>
      </w:r>
      <w:r>
        <w:rPr>
          <w:rFonts w:asciiTheme="majorHAnsi" w:hAnsiTheme="majorHAnsi" w:cstheme="majorHAnsi"/>
        </w:rPr>
        <w:t xml:space="preserve">their offices </w:t>
      </w:r>
      <w:r w:rsidRPr="00C021CF">
        <w:rPr>
          <w:rFonts w:asciiTheme="majorHAnsi" w:hAnsiTheme="majorHAnsi" w:cstheme="majorHAnsi"/>
        </w:rPr>
        <w:t>and other stakeholders</w:t>
      </w:r>
      <w:r>
        <w:rPr>
          <w:rFonts w:asciiTheme="majorHAnsi" w:hAnsiTheme="majorHAnsi" w:cstheme="majorHAnsi"/>
        </w:rPr>
        <w:t xml:space="preserve"> to strengthen enforcement work</w:t>
      </w:r>
      <w:r w:rsidRPr="00C021CF">
        <w:rPr>
          <w:rFonts w:asciiTheme="majorHAnsi" w:hAnsiTheme="majorHAnsi" w:cstheme="majorHAnsi"/>
        </w:rPr>
        <w:t>. Currently, A</w:t>
      </w:r>
      <w:r>
        <w:rPr>
          <w:rFonts w:asciiTheme="majorHAnsi" w:hAnsiTheme="majorHAnsi" w:cstheme="majorHAnsi"/>
        </w:rPr>
        <w:t>G</w:t>
      </w:r>
      <w:r w:rsidRPr="00C021CF">
        <w:rPr>
          <w:rFonts w:asciiTheme="majorHAnsi" w:hAnsiTheme="majorHAnsi" w:cstheme="majorHAnsi"/>
        </w:rPr>
        <w:t>s are collaborating with local prosecutors as force multipliers to criminally prosecuting wage theft.  For example, the PA AGO created a joint enforcement task force with the Delaware County DA’s Office to combat misclassification of construction workers.</w:t>
      </w:r>
      <w:r>
        <w:rPr>
          <w:rStyle w:val="FootnoteReference"/>
          <w:rFonts w:asciiTheme="majorHAnsi" w:hAnsiTheme="majorHAnsi" w:cstheme="majorHAnsi"/>
        </w:rPr>
        <w:footnoteReference w:customMarkFollows="1" w:id="30"/>
        <w:t>30</w:t>
      </w:r>
      <w:r w:rsidRPr="00C021CF">
        <w:rPr>
          <w:rFonts w:asciiTheme="majorHAnsi" w:hAnsiTheme="majorHAnsi" w:cstheme="majorHAnsi"/>
        </w:rPr>
        <w:t xml:space="preserve">  </w:t>
      </w:r>
    </w:p>
    <w:p w14:paraId="3C038597" w14:textId="77777777" w:rsidR="00702C12" w:rsidRPr="00C021CF" w:rsidRDefault="00702C12" w:rsidP="00416B32">
      <w:pPr>
        <w:spacing w:line="240" w:lineRule="auto"/>
        <w:ind w:left="-720" w:right="-720"/>
        <w:rPr>
          <w:rFonts w:asciiTheme="majorHAnsi" w:hAnsiTheme="majorHAnsi" w:cstheme="majorHAnsi"/>
        </w:rPr>
      </w:pPr>
    </w:p>
    <w:p w14:paraId="6E28D00A" w14:textId="77777777" w:rsidR="00702C12" w:rsidRPr="00C021CF" w:rsidRDefault="00702C12" w:rsidP="00C31BF1">
      <w:pPr>
        <w:spacing w:line="240" w:lineRule="auto"/>
        <w:ind w:right="-720"/>
        <w:rPr>
          <w:rFonts w:asciiTheme="majorHAnsi" w:hAnsiTheme="majorHAnsi" w:cstheme="majorHAnsi"/>
        </w:rPr>
      </w:pPr>
      <w:r w:rsidRPr="00C021CF">
        <w:rPr>
          <w:rFonts w:asciiTheme="majorHAnsi" w:hAnsiTheme="majorHAnsi" w:cstheme="majorHAnsi"/>
        </w:rPr>
        <w:t>In addition, AGs often engage their communities on th</w:t>
      </w:r>
      <w:r>
        <w:rPr>
          <w:rFonts w:asciiTheme="majorHAnsi" w:hAnsiTheme="majorHAnsi" w:cstheme="majorHAnsi"/>
        </w:rPr>
        <w:t>ese</w:t>
      </w:r>
      <w:r w:rsidRPr="00C021CF">
        <w:rPr>
          <w:rFonts w:asciiTheme="majorHAnsi" w:hAnsiTheme="majorHAnsi" w:cstheme="majorHAnsi"/>
        </w:rPr>
        <w:t xml:space="preserve"> critical issue</w:t>
      </w:r>
      <w:r>
        <w:rPr>
          <w:rFonts w:asciiTheme="majorHAnsi" w:hAnsiTheme="majorHAnsi" w:cstheme="majorHAnsi"/>
        </w:rPr>
        <w:t>s</w:t>
      </w:r>
      <w:r w:rsidRPr="00C021CF">
        <w:rPr>
          <w:rFonts w:asciiTheme="majorHAnsi" w:hAnsiTheme="majorHAnsi" w:cstheme="majorHAnsi"/>
        </w:rPr>
        <w:t xml:space="preserve"> by educating the public and members of the bar about </w:t>
      </w:r>
      <w:r>
        <w:rPr>
          <w:rFonts w:asciiTheme="majorHAnsi" w:hAnsiTheme="majorHAnsi" w:cstheme="majorHAnsi"/>
        </w:rPr>
        <w:t>worker misclassification and wage theft</w:t>
      </w:r>
      <w:r w:rsidRPr="00C021CF">
        <w:rPr>
          <w:rFonts w:asciiTheme="majorHAnsi" w:hAnsiTheme="majorHAnsi" w:cstheme="majorHAnsi"/>
        </w:rPr>
        <w:t>.  For example, the MA AGO conducts annual wage theft clinics with legal aid and the private bar to help constituents.</w:t>
      </w:r>
      <w:r>
        <w:rPr>
          <w:rStyle w:val="FootnoteReference"/>
          <w:rFonts w:asciiTheme="majorHAnsi" w:hAnsiTheme="majorHAnsi" w:cstheme="majorHAnsi"/>
        </w:rPr>
        <w:footnoteReference w:customMarkFollows="1" w:id="31"/>
        <w:t>31</w:t>
      </w:r>
      <w:r w:rsidRPr="00C021CF">
        <w:rPr>
          <w:rFonts w:asciiTheme="majorHAnsi" w:hAnsiTheme="majorHAnsi" w:cstheme="majorHAnsi"/>
        </w:rPr>
        <w:t xml:space="preserve">  The IL AGO conducted public education to inform constituents about wage and hour laws and the role of law enforcement to combat wage theft and misclassification.</w:t>
      </w:r>
      <w:r>
        <w:rPr>
          <w:rStyle w:val="FootnoteReference"/>
          <w:rFonts w:asciiTheme="majorHAnsi" w:hAnsiTheme="majorHAnsi" w:cstheme="majorHAnsi"/>
        </w:rPr>
        <w:footnoteReference w:customMarkFollows="1" w:id="32"/>
        <w:t>32</w:t>
      </w:r>
    </w:p>
    <w:p w14:paraId="2EC1F5D6" w14:textId="77777777" w:rsidR="00702C12" w:rsidRPr="00C021CF" w:rsidRDefault="00702C12" w:rsidP="00416B32">
      <w:pPr>
        <w:spacing w:line="240" w:lineRule="auto"/>
        <w:rPr>
          <w:rFonts w:asciiTheme="majorHAnsi" w:hAnsiTheme="majorHAnsi" w:cstheme="majorHAnsi"/>
        </w:rPr>
      </w:pPr>
    </w:p>
    <w:p w14:paraId="6200E34A" w14:textId="77777777" w:rsidR="00702C12" w:rsidRPr="00C021CF" w:rsidRDefault="00702C12" w:rsidP="00416B32">
      <w:pPr>
        <w:pStyle w:val="ListParagraph"/>
        <w:numPr>
          <w:ilvl w:val="0"/>
          <w:numId w:val="3"/>
        </w:numPr>
        <w:spacing w:after="0" w:line="240" w:lineRule="auto"/>
        <w:rPr>
          <w:rFonts w:asciiTheme="majorHAnsi" w:hAnsiTheme="majorHAnsi" w:cstheme="majorHAnsi"/>
        </w:rPr>
      </w:pPr>
      <w:r w:rsidRPr="00C31BF1">
        <w:rPr>
          <w:rFonts w:asciiTheme="majorHAnsi" w:hAnsiTheme="majorHAnsi" w:cstheme="majorHAnsi"/>
          <w:u w:val="single"/>
        </w:rPr>
        <w:t>Arbitration and Private Attorneys General</w:t>
      </w:r>
      <w:r w:rsidRPr="00C021CF">
        <w:rPr>
          <w:rFonts w:asciiTheme="majorHAnsi" w:hAnsiTheme="majorHAnsi" w:cstheme="majorHAnsi"/>
        </w:rPr>
        <w:t>.</w:t>
      </w:r>
    </w:p>
    <w:p w14:paraId="571C71D6" w14:textId="77777777" w:rsidR="00702C12" w:rsidRPr="00C021CF" w:rsidRDefault="00702C12" w:rsidP="00C31BF1">
      <w:pPr>
        <w:spacing w:line="240" w:lineRule="auto"/>
        <w:ind w:right="-720"/>
        <w:rPr>
          <w:rFonts w:asciiTheme="majorHAnsi" w:hAnsiTheme="majorHAnsi" w:cstheme="majorHAnsi"/>
        </w:rPr>
      </w:pPr>
      <w:r w:rsidRPr="00C021CF">
        <w:rPr>
          <w:rFonts w:asciiTheme="majorHAnsi" w:hAnsiTheme="majorHAnsi" w:cstheme="majorHAnsi"/>
        </w:rPr>
        <w:t>Labor arbitration agreements are frequently utilized to limit employees’ ability to pursue wage theft claims.  These arbitration agreements require employees to submit their misclassification claims to private proceedings and waive their rights to collective or class actions.</w:t>
      </w:r>
      <w:r>
        <w:rPr>
          <w:rStyle w:val="FootnoteReference"/>
          <w:rFonts w:asciiTheme="majorHAnsi" w:hAnsiTheme="majorHAnsi" w:cstheme="majorHAnsi"/>
        </w:rPr>
        <w:footnoteReference w:customMarkFollows="1" w:id="33"/>
        <w:t>33</w:t>
      </w:r>
      <w:r w:rsidRPr="00C021CF">
        <w:rPr>
          <w:rFonts w:asciiTheme="majorHAnsi" w:hAnsiTheme="majorHAnsi" w:cstheme="majorHAnsi"/>
        </w:rPr>
        <w:t xml:space="preserve">  Employers increasingly require these agreements as a condition of employment. </w:t>
      </w:r>
      <w:r>
        <w:rPr>
          <w:rFonts w:asciiTheme="majorHAnsi" w:hAnsiTheme="majorHAnsi" w:cstheme="majorHAnsi"/>
        </w:rPr>
        <w:t xml:space="preserve"> </w:t>
      </w:r>
      <w:r w:rsidRPr="00C021CF">
        <w:rPr>
          <w:rFonts w:asciiTheme="majorHAnsi" w:hAnsiTheme="majorHAnsi" w:cstheme="majorHAnsi"/>
        </w:rPr>
        <w:t xml:space="preserve">This is in part due to the U.S. Supreme Court’s decision in </w:t>
      </w:r>
      <w:r w:rsidRPr="00C021CF">
        <w:rPr>
          <w:rFonts w:asciiTheme="majorHAnsi" w:hAnsiTheme="majorHAnsi" w:cstheme="majorHAnsi"/>
          <w:i/>
          <w:iCs/>
        </w:rPr>
        <w:t>Epic Sys. Corp. v. Lewis</w:t>
      </w:r>
      <w:r w:rsidRPr="00C021CF">
        <w:rPr>
          <w:rFonts w:asciiTheme="majorHAnsi" w:hAnsiTheme="majorHAnsi" w:cstheme="majorHAnsi"/>
        </w:rPr>
        <w:t xml:space="preserve">, 138 U.S. 1612 (2018), </w:t>
      </w:r>
      <w:r>
        <w:rPr>
          <w:rFonts w:asciiTheme="majorHAnsi" w:hAnsiTheme="majorHAnsi" w:cstheme="majorHAnsi"/>
        </w:rPr>
        <w:t xml:space="preserve">which </w:t>
      </w:r>
      <w:r w:rsidRPr="00C021CF">
        <w:rPr>
          <w:rFonts w:asciiTheme="majorHAnsi" w:hAnsiTheme="majorHAnsi" w:cstheme="majorHAnsi"/>
        </w:rPr>
        <w:t xml:space="preserve">effectively allows employers to condition employment </w:t>
      </w:r>
      <w:r>
        <w:rPr>
          <w:rFonts w:asciiTheme="majorHAnsi" w:hAnsiTheme="majorHAnsi" w:cstheme="majorHAnsi"/>
        </w:rPr>
        <w:t>on</w:t>
      </w:r>
      <w:r w:rsidRPr="00C021CF">
        <w:rPr>
          <w:rFonts w:asciiTheme="majorHAnsi" w:hAnsiTheme="majorHAnsi" w:cstheme="majorHAnsi"/>
        </w:rPr>
        <w:t xml:space="preserve"> mandatory arbitration and class action waiver agreements.  Notably, it has been reported that nearly two-thirds of gig companies use arbitration agreements.</w:t>
      </w:r>
      <w:r>
        <w:rPr>
          <w:rStyle w:val="FootnoteReference"/>
          <w:rFonts w:asciiTheme="majorHAnsi" w:hAnsiTheme="majorHAnsi" w:cstheme="majorHAnsi"/>
        </w:rPr>
        <w:footnoteReference w:customMarkFollows="1" w:id="34"/>
        <w:t>34</w:t>
      </w:r>
      <w:r w:rsidRPr="00C021CF">
        <w:rPr>
          <w:rFonts w:asciiTheme="majorHAnsi" w:hAnsiTheme="majorHAnsi" w:cstheme="majorHAnsi"/>
        </w:rPr>
        <w:t xml:space="preserve">  Without the ability to seek class or collective actions, it may be difficult for individual employees to afford or find counsel who will bring claims on a contingency basis.</w:t>
      </w:r>
    </w:p>
    <w:p w14:paraId="7948046B" w14:textId="77777777" w:rsidR="00702C12" w:rsidRPr="00C021CF" w:rsidRDefault="00702C12" w:rsidP="00416B32">
      <w:pPr>
        <w:spacing w:line="240" w:lineRule="auto"/>
        <w:ind w:left="-720" w:right="-720"/>
        <w:rPr>
          <w:rFonts w:asciiTheme="majorHAnsi" w:hAnsiTheme="majorHAnsi" w:cstheme="majorHAnsi"/>
        </w:rPr>
      </w:pPr>
      <w:r w:rsidRPr="00C021CF">
        <w:rPr>
          <w:rFonts w:asciiTheme="majorHAnsi" w:hAnsiTheme="majorHAnsi" w:cstheme="majorHAnsi"/>
        </w:rPr>
        <w:t xml:space="preserve">  </w:t>
      </w:r>
    </w:p>
    <w:p w14:paraId="5ADE695E" w14:textId="77777777" w:rsidR="00702C12" w:rsidRPr="00C021CF" w:rsidRDefault="00702C12" w:rsidP="00C31BF1">
      <w:pPr>
        <w:spacing w:line="240" w:lineRule="auto"/>
        <w:ind w:right="-720"/>
        <w:rPr>
          <w:rFonts w:asciiTheme="majorHAnsi" w:hAnsiTheme="majorHAnsi" w:cstheme="majorHAnsi"/>
        </w:rPr>
      </w:pPr>
      <w:r w:rsidRPr="00C021CF">
        <w:rPr>
          <w:rFonts w:asciiTheme="majorHAnsi" w:hAnsiTheme="majorHAnsi" w:cstheme="majorHAnsi"/>
        </w:rPr>
        <w:t>One potential solution to address arbitration clauses and class action waivers is California’s Private Attorneys General Act (PAGA).  PAGA allows employees to bring actions for civil penalties on behalf of themselves, others, and the State for violations of California’s wage and hour laws.</w:t>
      </w:r>
      <w:r>
        <w:rPr>
          <w:rStyle w:val="FootnoteReference"/>
          <w:rFonts w:asciiTheme="majorHAnsi" w:hAnsiTheme="majorHAnsi" w:cstheme="majorHAnsi"/>
        </w:rPr>
        <w:footnoteReference w:customMarkFollows="1" w:id="35"/>
        <w:t>35</w:t>
      </w:r>
      <w:r w:rsidRPr="00C021CF">
        <w:rPr>
          <w:rFonts w:asciiTheme="majorHAnsi" w:hAnsiTheme="majorHAnsi" w:cstheme="majorHAnsi"/>
        </w:rPr>
        <w:t xml:space="preserve"> </w:t>
      </w:r>
    </w:p>
    <w:p w14:paraId="217D1597" w14:textId="77777777" w:rsidR="00702C12" w:rsidRPr="00C021CF" w:rsidRDefault="00702C12" w:rsidP="00416B32">
      <w:pPr>
        <w:spacing w:line="240" w:lineRule="auto"/>
        <w:ind w:left="-720" w:right="-720"/>
        <w:rPr>
          <w:rFonts w:asciiTheme="majorHAnsi" w:hAnsiTheme="majorHAnsi" w:cstheme="majorHAnsi"/>
        </w:rPr>
      </w:pPr>
    </w:p>
    <w:p w14:paraId="56B1FE8C" w14:textId="77777777" w:rsidR="00702C12" w:rsidRPr="00C021CF" w:rsidRDefault="00702C12" w:rsidP="004B2A36">
      <w:pPr>
        <w:spacing w:line="240" w:lineRule="auto"/>
        <w:ind w:right="-720"/>
        <w:rPr>
          <w:rFonts w:asciiTheme="majorHAnsi" w:hAnsiTheme="majorHAnsi" w:cstheme="majorHAnsi"/>
          <w:color w:val="333333"/>
          <w:shd w:val="clear" w:color="auto" w:fill="FFFFFF"/>
        </w:rPr>
      </w:pPr>
      <w:r w:rsidRPr="00C021CF">
        <w:rPr>
          <w:rFonts w:asciiTheme="majorHAnsi" w:hAnsiTheme="majorHAnsi" w:cstheme="majorHAnsi"/>
        </w:rPr>
        <w:t>However</w:t>
      </w:r>
      <w:r>
        <w:rPr>
          <w:rFonts w:asciiTheme="majorHAnsi" w:hAnsiTheme="majorHAnsi" w:cstheme="majorHAnsi"/>
        </w:rPr>
        <w:t>, it is worth noting that</w:t>
      </w:r>
      <w:r w:rsidRPr="00C021CF">
        <w:rPr>
          <w:rFonts w:asciiTheme="majorHAnsi" w:hAnsiTheme="majorHAnsi" w:cstheme="majorHAnsi"/>
        </w:rPr>
        <w:t xml:space="preserve"> the United States Supreme Court ruled in </w:t>
      </w:r>
      <w:r w:rsidRPr="00C021CF">
        <w:rPr>
          <w:rFonts w:asciiTheme="majorHAnsi" w:hAnsiTheme="majorHAnsi" w:cstheme="majorHAnsi"/>
          <w:i/>
          <w:iCs/>
        </w:rPr>
        <w:t xml:space="preserve">Viking River Cruises, Inc. v. Moriana, </w:t>
      </w:r>
      <w:r w:rsidRPr="00C021CF">
        <w:rPr>
          <w:rFonts w:asciiTheme="majorHAnsi" w:hAnsiTheme="majorHAnsi" w:cstheme="majorHAnsi"/>
        </w:rPr>
        <w:t xml:space="preserve">142 S.Ct. 1906 (2022), that the Federal Arbitration Act preempts </w:t>
      </w:r>
      <w:r w:rsidRPr="00C021CF">
        <w:rPr>
          <w:rFonts w:asciiTheme="majorHAnsi" w:hAnsiTheme="majorHAnsi" w:cstheme="majorHAnsi"/>
          <w:color w:val="0C0C0C"/>
          <w:shd w:val="clear" w:color="auto" w:fill="FFFFFF"/>
        </w:rPr>
        <w:t xml:space="preserve">PAGA.  Nevertheless, the Supreme Court left </w:t>
      </w:r>
      <w:r w:rsidRPr="00C021CF">
        <w:rPr>
          <w:rFonts w:asciiTheme="majorHAnsi" w:hAnsiTheme="majorHAnsi" w:cstheme="majorHAnsi"/>
          <w:color w:val="0C0C0C"/>
          <w:shd w:val="clear" w:color="auto" w:fill="FFFFFF"/>
        </w:rPr>
        <w:lastRenderedPageBreak/>
        <w:t>open an issue about whether non-individual claims can proceed, i.e., claims on behalf of others injured by the employer’s violations.</w:t>
      </w:r>
      <w:r>
        <w:rPr>
          <w:rStyle w:val="FootnoteReference"/>
          <w:rFonts w:asciiTheme="majorHAnsi" w:hAnsiTheme="majorHAnsi" w:cstheme="majorHAnsi"/>
          <w:color w:val="0C0C0C"/>
          <w:shd w:val="clear" w:color="auto" w:fill="FFFFFF"/>
        </w:rPr>
        <w:footnoteReference w:customMarkFollows="1" w:id="36"/>
        <w:t>36</w:t>
      </w:r>
      <w:r w:rsidRPr="00C021CF">
        <w:rPr>
          <w:rFonts w:asciiTheme="majorHAnsi" w:hAnsiTheme="majorHAnsi" w:cstheme="majorHAnsi"/>
          <w:color w:val="0C0C0C"/>
          <w:shd w:val="clear" w:color="auto" w:fill="FFFFFF"/>
        </w:rPr>
        <w:t xml:space="preserve">  As Justice Sotomayor explained in her concurring opinion, the question whether an employee could still maintain a representative PAGA claim in court was ultimately a decision of California law.  </w:t>
      </w:r>
      <w:r>
        <w:rPr>
          <w:rFonts w:asciiTheme="majorHAnsi" w:hAnsiTheme="majorHAnsi" w:cstheme="majorHAnsi"/>
          <w:color w:val="0C0C0C"/>
          <w:shd w:val="clear" w:color="auto" w:fill="FFFFFF"/>
        </w:rPr>
        <w:t xml:space="preserve">The Justice </w:t>
      </w:r>
      <w:r w:rsidRPr="00C021CF">
        <w:rPr>
          <w:rFonts w:asciiTheme="majorHAnsi" w:hAnsiTheme="majorHAnsi" w:cstheme="majorHAnsi"/>
          <w:color w:val="0C0C0C"/>
          <w:shd w:val="clear" w:color="auto" w:fill="FFFFFF"/>
        </w:rPr>
        <w:t>went on to state, “if this court’s understanding of state law is wrong, California courts …will have the last word.”</w:t>
      </w:r>
      <w:r>
        <w:rPr>
          <w:rStyle w:val="FootnoteReference"/>
          <w:rFonts w:asciiTheme="majorHAnsi" w:hAnsiTheme="majorHAnsi" w:cstheme="majorHAnsi"/>
          <w:color w:val="0C0C0C"/>
          <w:shd w:val="clear" w:color="auto" w:fill="FFFFFF"/>
        </w:rPr>
        <w:footnoteReference w:customMarkFollows="1" w:id="37"/>
        <w:t>37</w:t>
      </w:r>
      <w:r w:rsidRPr="00C021CF">
        <w:rPr>
          <w:rFonts w:asciiTheme="majorHAnsi" w:hAnsiTheme="majorHAnsi" w:cstheme="majorHAnsi"/>
          <w:color w:val="0C0C0C"/>
          <w:shd w:val="clear" w:color="auto" w:fill="FFFFFF"/>
        </w:rPr>
        <w:t xml:space="preserve">  The opportunity to correct the United States Supreme Court on representative claims is currently before the California Supreme Court in the matter of </w:t>
      </w:r>
      <w:r w:rsidRPr="00C021CF">
        <w:rPr>
          <w:rFonts w:asciiTheme="majorHAnsi" w:hAnsiTheme="majorHAnsi" w:cstheme="majorHAnsi"/>
          <w:i/>
          <w:iCs/>
        </w:rPr>
        <w:t>Adolph v. Uber Technologies (CA Supreme Court),</w:t>
      </w:r>
      <w:r w:rsidRPr="00C021CF">
        <w:rPr>
          <w:rFonts w:asciiTheme="majorHAnsi" w:hAnsiTheme="majorHAnsi" w:cstheme="majorHAnsi"/>
        </w:rPr>
        <w:t xml:space="preserve"> </w:t>
      </w:r>
      <w:r w:rsidRPr="00C021CF">
        <w:rPr>
          <w:rFonts w:asciiTheme="majorHAnsi" w:hAnsiTheme="majorHAnsi" w:cstheme="majorHAnsi"/>
          <w:color w:val="333333"/>
          <w:shd w:val="clear" w:color="auto" w:fill="FFFFFF"/>
        </w:rPr>
        <w:t xml:space="preserve">Docket No. S-274671.  This case will address an individual’s ability to bring a PAGA claim on behalf of others despite the existence of an arbitration and waiver agreement.    </w:t>
      </w:r>
    </w:p>
    <w:p w14:paraId="057F1FA6" w14:textId="77777777" w:rsidR="00702C12" w:rsidRPr="00C021CF" w:rsidRDefault="00702C12" w:rsidP="00416B32">
      <w:pPr>
        <w:spacing w:line="240" w:lineRule="auto"/>
        <w:rPr>
          <w:rFonts w:asciiTheme="majorHAnsi" w:hAnsiTheme="majorHAnsi" w:cstheme="majorHAnsi"/>
          <w:color w:val="333333"/>
          <w:shd w:val="clear" w:color="auto" w:fill="FFFFFF"/>
        </w:rPr>
      </w:pPr>
    </w:p>
    <w:p w14:paraId="78EDCE29" w14:textId="77777777" w:rsidR="00702C12" w:rsidRPr="00C021CF" w:rsidRDefault="00702C12" w:rsidP="00416B32">
      <w:pPr>
        <w:pStyle w:val="ListParagraph"/>
        <w:numPr>
          <w:ilvl w:val="0"/>
          <w:numId w:val="3"/>
        </w:numPr>
        <w:spacing w:after="0" w:line="240" w:lineRule="auto"/>
        <w:rPr>
          <w:rFonts w:asciiTheme="majorHAnsi" w:hAnsiTheme="majorHAnsi" w:cstheme="majorHAnsi"/>
          <w:color w:val="333333"/>
          <w:shd w:val="clear" w:color="auto" w:fill="FFFFFF"/>
        </w:rPr>
      </w:pPr>
      <w:r w:rsidRPr="00C31BF1">
        <w:rPr>
          <w:rFonts w:asciiTheme="majorHAnsi" w:hAnsiTheme="majorHAnsi" w:cstheme="majorHAnsi"/>
          <w:color w:val="333333"/>
          <w:u w:val="single"/>
          <w:shd w:val="clear" w:color="auto" w:fill="FFFFFF"/>
        </w:rPr>
        <w:t>Child and Migrant Labor</w:t>
      </w:r>
      <w:r w:rsidRPr="00C021CF">
        <w:rPr>
          <w:rFonts w:asciiTheme="majorHAnsi" w:hAnsiTheme="majorHAnsi" w:cstheme="majorHAnsi"/>
          <w:color w:val="333333"/>
          <w:shd w:val="clear" w:color="auto" w:fill="FFFFFF"/>
        </w:rPr>
        <w:t>.</w:t>
      </w:r>
    </w:p>
    <w:p w14:paraId="560AF733" w14:textId="77777777" w:rsidR="00702C12" w:rsidRPr="00C021CF" w:rsidRDefault="00702C12" w:rsidP="00C31BF1">
      <w:pPr>
        <w:spacing w:line="240" w:lineRule="auto"/>
        <w:ind w:right="-720"/>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Another emerging issue is </w:t>
      </w:r>
      <w:r w:rsidRPr="00C021CF">
        <w:rPr>
          <w:rFonts w:asciiTheme="majorHAnsi" w:hAnsiTheme="majorHAnsi" w:cstheme="majorHAnsi"/>
          <w:color w:val="333333"/>
          <w:shd w:val="clear" w:color="auto" w:fill="FFFFFF"/>
        </w:rPr>
        <w:t xml:space="preserve">wage theft </w:t>
      </w:r>
      <w:r>
        <w:rPr>
          <w:rFonts w:asciiTheme="majorHAnsi" w:hAnsiTheme="majorHAnsi" w:cstheme="majorHAnsi"/>
          <w:color w:val="333333"/>
          <w:shd w:val="clear" w:color="auto" w:fill="FFFFFF"/>
        </w:rPr>
        <w:t xml:space="preserve">that </w:t>
      </w:r>
      <w:r w:rsidRPr="00C021CF">
        <w:rPr>
          <w:rFonts w:asciiTheme="majorHAnsi" w:hAnsiTheme="majorHAnsi" w:cstheme="majorHAnsi"/>
          <w:color w:val="333333"/>
          <w:shd w:val="clear" w:color="auto" w:fill="FFFFFF"/>
        </w:rPr>
        <w:t>occur</w:t>
      </w:r>
      <w:r>
        <w:rPr>
          <w:rFonts w:asciiTheme="majorHAnsi" w:hAnsiTheme="majorHAnsi" w:cstheme="majorHAnsi"/>
          <w:color w:val="333333"/>
          <w:shd w:val="clear" w:color="auto" w:fill="FFFFFF"/>
        </w:rPr>
        <w:t>s</w:t>
      </w:r>
      <w:r w:rsidRPr="00C021CF">
        <w:rPr>
          <w:rFonts w:asciiTheme="majorHAnsi" w:hAnsiTheme="majorHAnsi" w:cstheme="majorHAnsi"/>
          <w:color w:val="333333"/>
          <w:shd w:val="clear" w:color="auto" w:fill="FFFFFF"/>
        </w:rPr>
        <w:t xml:space="preserve"> through labor trafficking</w:t>
      </w:r>
      <w:r>
        <w:rPr>
          <w:rFonts w:asciiTheme="majorHAnsi" w:hAnsiTheme="majorHAnsi" w:cstheme="majorHAnsi"/>
          <w:color w:val="333333"/>
          <w:shd w:val="clear" w:color="auto" w:fill="FFFFFF"/>
        </w:rPr>
        <w:t xml:space="preserve"> of children</w:t>
      </w:r>
      <w:r w:rsidRPr="00C021CF">
        <w:rPr>
          <w:rFonts w:asciiTheme="majorHAnsi" w:hAnsiTheme="majorHAnsi" w:cstheme="majorHAnsi"/>
          <w:color w:val="333333"/>
          <w:shd w:val="clear" w:color="auto" w:fill="FFFFFF"/>
        </w:rPr>
        <w:t xml:space="preserve">.  A recent </w:t>
      </w:r>
      <w:r w:rsidRPr="00C021CF">
        <w:rPr>
          <w:rFonts w:asciiTheme="majorHAnsi" w:hAnsiTheme="majorHAnsi" w:cstheme="majorHAnsi"/>
          <w:i/>
          <w:iCs/>
          <w:color w:val="333333"/>
          <w:shd w:val="clear" w:color="auto" w:fill="FFFFFF"/>
        </w:rPr>
        <w:t>New York Times</w:t>
      </w:r>
      <w:r w:rsidRPr="00C021CF">
        <w:rPr>
          <w:rFonts w:asciiTheme="majorHAnsi" w:hAnsiTheme="majorHAnsi" w:cstheme="majorHAnsi"/>
          <w:color w:val="333333"/>
          <w:shd w:val="clear" w:color="auto" w:fill="FFFFFF"/>
        </w:rPr>
        <w:t xml:space="preserve"> article reported that migrant children are being exploited in increasing numbers, especially when they arrive in the United States without their parents.</w:t>
      </w:r>
      <w:r>
        <w:rPr>
          <w:rStyle w:val="FootnoteReference"/>
          <w:rFonts w:asciiTheme="majorHAnsi" w:hAnsiTheme="majorHAnsi" w:cstheme="majorHAnsi"/>
          <w:color w:val="333333"/>
          <w:shd w:val="clear" w:color="auto" w:fill="FFFFFF"/>
        </w:rPr>
        <w:footnoteReference w:customMarkFollows="1" w:id="38"/>
        <w:t>38</w:t>
      </w:r>
      <w:r w:rsidRPr="00C021CF">
        <w:rPr>
          <w:rFonts w:asciiTheme="majorHAnsi" w:hAnsiTheme="majorHAnsi" w:cstheme="majorHAnsi"/>
          <w:color w:val="333333"/>
          <w:shd w:val="clear" w:color="auto" w:fill="FFFFFF"/>
        </w:rPr>
        <w:t xml:space="preserve">  This wave of parentless immigration has been increasing.</w:t>
      </w:r>
      <w:r>
        <w:rPr>
          <w:rStyle w:val="FootnoteReference"/>
          <w:rFonts w:asciiTheme="majorHAnsi" w:hAnsiTheme="majorHAnsi" w:cstheme="majorHAnsi"/>
          <w:color w:val="333333"/>
          <w:shd w:val="clear" w:color="auto" w:fill="FFFFFF"/>
        </w:rPr>
        <w:footnoteReference w:customMarkFollows="1" w:id="39"/>
        <w:t>39</w:t>
      </w:r>
      <w:r w:rsidRPr="00C021CF">
        <w:rPr>
          <w:rFonts w:asciiTheme="majorHAnsi" w:hAnsiTheme="majorHAnsi" w:cstheme="majorHAnsi"/>
          <w:color w:val="333333"/>
          <w:shd w:val="clear" w:color="auto" w:fill="FFFFFF"/>
        </w:rPr>
        <w:t xml:space="preserve">  Children find themselves working in dangerous conditions, such as slaughterhouses or construction, and sometimes without</w:t>
      </w:r>
      <w:r>
        <w:rPr>
          <w:rFonts w:asciiTheme="majorHAnsi" w:hAnsiTheme="majorHAnsi" w:cstheme="majorHAnsi"/>
          <w:color w:val="333333"/>
          <w:shd w:val="clear" w:color="auto" w:fill="FFFFFF"/>
        </w:rPr>
        <w:t xml:space="preserve"> sufficient</w:t>
      </w:r>
      <w:r w:rsidRPr="00C021CF">
        <w:rPr>
          <w:rFonts w:asciiTheme="majorHAnsi" w:hAnsiTheme="majorHAnsi" w:cstheme="majorHAnsi"/>
          <w:color w:val="333333"/>
          <w:shd w:val="clear" w:color="auto" w:fill="FFFFFF"/>
        </w:rPr>
        <w:t xml:space="preserve"> pay </w:t>
      </w:r>
      <w:r>
        <w:rPr>
          <w:rFonts w:asciiTheme="majorHAnsi" w:hAnsiTheme="majorHAnsi" w:cstheme="majorHAnsi"/>
          <w:color w:val="333333"/>
          <w:shd w:val="clear" w:color="auto" w:fill="FFFFFF"/>
        </w:rPr>
        <w:t xml:space="preserve">to </w:t>
      </w:r>
      <w:r w:rsidRPr="00C021CF">
        <w:rPr>
          <w:rFonts w:asciiTheme="majorHAnsi" w:hAnsiTheme="majorHAnsi" w:cstheme="majorHAnsi"/>
          <w:color w:val="333333"/>
          <w:shd w:val="clear" w:color="auto" w:fill="FFFFFF"/>
        </w:rPr>
        <w:t>compl</w:t>
      </w:r>
      <w:r>
        <w:rPr>
          <w:rFonts w:asciiTheme="majorHAnsi" w:hAnsiTheme="majorHAnsi" w:cstheme="majorHAnsi"/>
          <w:color w:val="333333"/>
          <w:shd w:val="clear" w:color="auto" w:fill="FFFFFF"/>
        </w:rPr>
        <w:t>y</w:t>
      </w:r>
      <w:r w:rsidRPr="00C021CF">
        <w:rPr>
          <w:rFonts w:asciiTheme="majorHAnsi" w:hAnsiTheme="majorHAnsi" w:cstheme="majorHAnsi"/>
          <w:color w:val="333333"/>
          <w:shd w:val="clear" w:color="auto" w:fill="FFFFFF"/>
        </w:rPr>
        <w:t xml:space="preserve"> with minimum wage, overtime, or other hour limitations.</w:t>
      </w:r>
      <w:r>
        <w:rPr>
          <w:rStyle w:val="FootnoteReference"/>
          <w:rFonts w:asciiTheme="majorHAnsi" w:hAnsiTheme="majorHAnsi" w:cstheme="majorHAnsi"/>
          <w:color w:val="333333"/>
          <w:shd w:val="clear" w:color="auto" w:fill="FFFFFF"/>
        </w:rPr>
        <w:footnoteReference w:customMarkFollows="1" w:id="40"/>
        <w:t>40</w:t>
      </w:r>
      <w:r w:rsidRPr="00C021CF">
        <w:rPr>
          <w:rFonts w:asciiTheme="majorHAnsi" w:hAnsiTheme="majorHAnsi" w:cstheme="majorHAnsi"/>
          <w:color w:val="333333"/>
          <w:shd w:val="clear" w:color="auto" w:fill="FFFFFF"/>
        </w:rPr>
        <w:t xml:space="preserve">  </w:t>
      </w:r>
    </w:p>
    <w:p w14:paraId="7DBA468D" w14:textId="77777777" w:rsidR="00702C12" w:rsidRPr="00C021CF" w:rsidRDefault="00702C12" w:rsidP="00416B32">
      <w:pPr>
        <w:spacing w:line="240" w:lineRule="auto"/>
        <w:ind w:left="-720" w:right="-720"/>
        <w:rPr>
          <w:rFonts w:asciiTheme="majorHAnsi" w:hAnsiTheme="majorHAnsi" w:cstheme="majorHAnsi"/>
          <w:color w:val="333333"/>
          <w:shd w:val="clear" w:color="auto" w:fill="FFFFFF"/>
        </w:rPr>
      </w:pPr>
    </w:p>
    <w:p w14:paraId="6E31860E" w14:textId="77777777" w:rsidR="00702C12" w:rsidRPr="00C021CF" w:rsidRDefault="00702C12" w:rsidP="00C31BF1">
      <w:pPr>
        <w:spacing w:line="240" w:lineRule="auto"/>
        <w:ind w:right="-720"/>
        <w:rPr>
          <w:rFonts w:asciiTheme="majorHAnsi" w:hAnsiTheme="majorHAnsi" w:cstheme="majorHAnsi"/>
          <w:color w:val="333333"/>
          <w:shd w:val="clear" w:color="auto" w:fill="FFFFFF"/>
        </w:rPr>
      </w:pPr>
      <w:r w:rsidRPr="00C021CF">
        <w:rPr>
          <w:rFonts w:asciiTheme="majorHAnsi" w:hAnsiTheme="majorHAnsi" w:cstheme="majorHAnsi"/>
          <w:color w:val="333333"/>
          <w:shd w:val="clear" w:color="auto" w:fill="FFFFFF"/>
        </w:rPr>
        <w:t>Efforts by AGs to address this growing problem include the Wisconsin AGO’s receipt of a $1.4 million grant from the Howard Buffett Foundation to conduct victim centered investigations and prosecute labor traffickers.</w:t>
      </w:r>
      <w:r>
        <w:rPr>
          <w:rStyle w:val="FootnoteReference"/>
          <w:rFonts w:asciiTheme="majorHAnsi" w:hAnsiTheme="majorHAnsi" w:cstheme="majorHAnsi"/>
          <w:color w:val="333333"/>
          <w:shd w:val="clear" w:color="auto" w:fill="FFFFFF"/>
        </w:rPr>
        <w:footnoteReference w:customMarkFollows="1" w:id="41"/>
        <w:t>41</w:t>
      </w:r>
      <w:r w:rsidRPr="00C021CF">
        <w:rPr>
          <w:rFonts w:asciiTheme="majorHAnsi" w:hAnsiTheme="majorHAnsi" w:cstheme="majorHAnsi"/>
          <w:color w:val="333333"/>
          <w:shd w:val="clear" w:color="auto" w:fill="FFFFFF"/>
        </w:rPr>
        <w:t xml:space="preserve">   </w:t>
      </w:r>
    </w:p>
    <w:p w14:paraId="7CF0CA95" w14:textId="77777777" w:rsidR="00702C12" w:rsidRPr="00C021CF" w:rsidRDefault="00702C12" w:rsidP="00416B32">
      <w:pPr>
        <w:spacing w:line="240" w:lineRule="auto"/>
        <w:ind w:left="-720" w:right="-720"/>
        <w:rPr>
          <w:rFonts w:asciiTheme="majorHAnsi" w:hAnsiTheme="majorHAnsi" w:cstheme="majorHAnsi"/>
          <w:color w:val="333333"/>
          <w:shd w:val="clear" w:color="auto" w:fill="FFFFFF"/>
        </w:rPr>
      </w:pPr>
    </w:p>
    <w:p w14:paraId="3C98ADF1" w14:textId="77777777" w:rsidR="00702C12" w:rsidRPr="00C021CF" w:rsidRDefault="00702C12" w:rsidP="00C31BF1">
      <w:pPr>
        <w:spacing w:line="240" w:lineRule="auto"/>
        <w:rPr>
          <w:rFonts w:asciiTheme="majorHAnsi" w:eastAsia="Calibri" w:hAnsiTheme="majorHAnsi" w:cstheme="majorHAnsi"/>
        </w:rPr>
      </w:pPr>
      <w:r w:rsidRPr="00C021CF">
        <w:rPr>
          <w:rFonts w:asciiTheme="majorHAnsi" w:eastAsia="Calibri" w:hAnsiTheme="majorHAnsi" w:cstheme="majorHAnsi"/>
          <w:b/>
          <w:u w:val="single"/>
        </w:rPr>
        <w:t>Recommendations</w:t>
      </w:r>
    </w:p>
    <w:p w14:paraId="4855BB1C" w14:textId="77777777" w:rsidR="00702C12" w:rsidRPr="00C021CF" w:rsidRDefault="00702C12" w:rsidP="00416B32">
      <w:pPr>
        <w:spacing w:line="240" w:lineRule="auto"/>
        <w:rPr>
          <w:rFonts w:asciiTheme="majorHAnsi" w:eastAsia="Calibri" w:hAnsiTheme="majorHAnsi" w:cstheme="majorHAnsi"/>
        </w:rPr>
      </w:pPr>
    </w:p>
    <w:p w14:paraId="1BF802BB" w14:textId="77777777" w:rsidR="00702C12" w:rsidRPr="00C021CF" w:rsidRDefault="00702C12" w:rsidP="00EC64D5">
      <w:pPr>
        <w:spacing w:line="240" w:lineRule="auto"/>
        <w:ind w:right="-720"/>
        <w:rPr>
          <w:rFonts w:asciiTheme="majorHAnsi" w:hAnsiTheme="majorHAnsi" w:cstheme="majorHAnsi"/>
        </w:rPr>
      </w:pPr>
      <w:r w:rsidRPr="00C021CF">
        <w:rPr>
          <w:rFonts w:asciiTheme="majorHAnsi" w:hAnsiTheme="majorHAnsi" w:cstheme="majorHAnsi"/>
        </w:rPr>
        <w:t>AGs should consider establishing divisions or units focused on worker’s rights</w:t>
      </w:r>
      <w:r>
        <w:rPr>
          <w:rFonts w:asciiTheme="majorHAnsi" w:hAnsiTheme="majorHAnsi" w:cstheme="majorHAnsi"/>
        </w:rPr>
        <w:t xml:space="preserve"> to</w:t>
      </w:r>
      <w:r w:rsidRPr="00C021CF">
        <w:rPr>
          <w:rFonts w:asciiTheme="majorHAnsi" w:hAnsiTheme="majorHAnsi" w:cstheme="majorHAnsi"/>
        </w:rPr>
        <w:t xml:space="preserve"> includ</w:t>
      </w:r>
      <w:r>
        <w:rPr>
          <w:rFonts w:asciiTheme="majorHAnsi" w:hAnsiTheme="majorHAnsi" w:cstheme="majorHAnsi"/>
        </w:rPr>
        <w:t>e</w:t>
      </w:r>
      <w:r w:rsidRPr="00C021CF">
        <w:rPr>
          <w:rFonts w:asciiTheme="majorHAnsi" w:hAnsiTheme="majorHAnsi" w:cstheme="majorHAnsi"/>
        </w:rPr>
        <w:t xml:space="preserve"> </w:t>
      </w:r>
      <w:r>
        <w:rPr>
          <w:rFonts w:asciiTheme="majorHAnsi" w:hAnsiTheme="majorHAnsi" w:cstheme="majorHAnsi"/>
        </w:rPr>
        <w:t xml:space="preserve">worker misclassification, wage theft </w:t>
      </w:r>
      <w:r w:rsidRPr="00C021CF">
        <w:rPr>
          <w:rFonts w:asciiTheme="majorHAnsi" w:hAnsiTheme="majorHAnsi" w:cstheme="majorHAnsi"/>
        </w:rPr>
        <w:t>and labor trafficking, where such divisions or units do not already exist.  Th</w:t>
      </w:r>
      <w:r>
        <w:rPr>
          <w:rFonts w:asciiTheme="majorHAnsi" w:hAnsiTheme="majorHAnsi" w:cstheme="majorHAnsi"/>
        </w:rPr>
        <w:t>is</w:t>
      </w:r>
      <w:r w:rsidRPr="00C021CF">
        <w:rPr>
          <w:rFonts w:asciiTheme="majorHAnsi" w:hAnsiTheme="majorHAnsi" w:cstheme="majorHAnsi"/>
        </w:rPr>
        <w:t xml:space="preserve"> increased focus on resources is more important than ever given the limitations on access to justice caused by mandatory arbitration clauses that preclude class or collective actions.  In some instances, AGs may be the only entities who can effectively seek relief.</w:t>
      </w:r>
    </w:p>
    <w:p w14:paraId="148D8672" w14:textId="77777777" w:rsidR="00702C12" w:rsidRPr="00C021CF" w:rsidRDefault="00702C12" w:rsidP="00416B32">
      <w:pPr>
        <w:spacing w:line="240" w:lineRule="auto"/>
        <w:ind w:left="-720" w:right="-720"/>
        <w:rPr>
          <w:rFonts w:asciiTheme="majorHAnsi" w:hAnsiTheme="majorHAnsi" w:cstheme="majorHAnsi"/>
        </w:rPr>
      </w:pPr>
      <w:r w:rsidRPr="00C021CF">
        <w:rPr>
          <w:rFonts w:asciiTheme="majorHAnsi" w:hAnsiTheme="majorHAnsi" w:cstheme="majorHAnsi"/>
        </w:rPr>
        <w:t xml:space="preserve">  </w:t>
      </w:r>
    </w:p>
    <w:p w14:paraId="146B73F8" w14:textId="77777777" w:rsidR="00702C12" w:rsidRPr="00C021CF" w:rsidRDefault="00702C12" w:rsidP="00C31BF1">
      <w:pPr>
        <w:spacing w:line="240" w:lineRule="auto"/>
        <w:ind w:right="-720"/>
        <w:rPr>
          <w:rFonts w:asciiTheme="majorHAnsi" w:hAnsiTheme="majorHAnsi" w:cstheme="majorHAnsi"/>
        </w:rPr>
      </w:pPr>
      <w:r w:rsidRPr="00C021CF">
        <w:rPr>
          <w:rFonts w:asciiTheme="majorHAnsi" w:hAnsiTheme="majorHAnsi" w:cstheme="majorHAnsi"/>
        </w:rPr>
        <w:t xml:space="preserve">Other efforts to assist victims of wage theft </w:t>
      </w:r>
      <w:r>
        <w:rPr>
          <w:rFonts w:asciiTheme="majorHAnsi" w:hAnsiTheme="majorHAnsi" w:cstheme="majorHAnsi"/>
        </w:rPr>
        <w:t xml:space="preserve">could </w:t>
      </w:r>
      <w:r w:rsidRPr="00C021CF">
        <w:rPr>
          <w:rFonts w:asciiTheme="majorHAnsi" w:hAnsiTheme="majorHAnsi" w:cstheme="majorHAnsi"/>
        </w:rPr>
        <w:t>include:</w:t>
      </w:r>
    </w:p>
    <w:p w14:paraId="794CBF8A" w14:textId="77777777" w:rsidR="00702C12" w:rsidRPr="00C021CF" w:rsidRDefault="00702C12" w:rsidP="00C31BF1">
      <w:pPr>
        <w:pStyle w:val="ListParagraph"/>
        <w:numPr>
          <w:ilvl w:val="0"/>
          <w:numId w:val="4"/>
        </w:numPr>
        <w:spacing w:after="0" w:line="240" w:lineRule="auto"/>
        <w:ind w:left="990" w:hanging="450"/>
        <w:rPr>
          <w:rFonts w:asciiTheme="majorHAnsi" w:hAnsiTheme="majorHAnsi" w:cstheme="majorHAnsi"/>
        </w:rPr>
      </w:pPr>
      <w:r w:rsidRPr="00C021CF">
        <w:rPr>
          <w:rFonts w:asciiTheme="majorHAnsi" w:hAnsiTheme="majorHAnsi" w:cstheme="majorHAnsi"/>
        </w:rPr>
        <w:t>Strategic partnerships with local prosecutors to criminally prosecute wage theft violations and/or local bar associations to get legal services to those in need to pursue civil claims.</w:t>
      </w:r>
      <w:r>
        <w:rPr>
          <w:rStyle w:val="FootnoteReference"/>
          <w:rFonts w:asciiTheme="majorHAnsi" w:hAnsiTheme="majorHAnsi" w:cstheme="majorHAnsi"/>
        </w:rPr>
        <w:footnoteReference w:customMarkFollows="1" w:id="42"/>
        <w:t>42</w:t>
      </w:r>
      <w:r w:rsidRPr="00C021CF">
        <w:rPr>
          <w:rFonts w:asciiTheme="majorHAnsi" w:hAnsiTheme="majorHAnsi" w:cstheme="majorHAnsi"/>
        </w:rPr>
        <w:t xml:space="preserve">  </w:t>
      </w:r>
    </w:p>
    <w:p w14:paraId="105D1828" w14:textId="77777777" w:rsidR="00702C12" w:rsidRPr="00C021CF" w:rsidRDefault="00702C12" w:rsidP="00C31BF1">
      <w:pPr>
        <w:pStyle w:val="ListParagraph"/>
        <w:numPr>
          <w:ilvl w:val="0"/>
          <w:numId w:val="4"/>
        </w:numPr>
        <w:spacing w:after="0" w:line="240" w:lineRule="auto"/>
        <w:ind w:left="990" w:hanging="450"/>
        <w:rPr>
          <w:rFonts w:asciiTheme="majorHAnsi" w:hAnsiTheme="majorHAnsi" w:cstheme="majorHAnsi"/>
        </w:rPr>
      </w:pPr>
      <w:r w:rsidRPr="00C021CF">
        <w:rPr>
          <w:rFonts w:asciiTheme="majorHAnsi" w:hAnsiTheme="majorHAnsi" w:cstheme="majorHAnsi"/>
        </w:rPr>
        <w:lastRenderedPageBreak/>
        <w:t>PAGA type legislation</w:t>
      </w:r>
      <w:r>
        <w:rPr>
          <w:rFonts w:asciiTheme="majorHAnsi" w:hAnsiTheme="majorHAnsi" w:cstheme="majorHAnsi"/>
        </w:rPr>
        <w:t xml:space="preserve"> pertaining to misclassification of employees</w:t>
      </w:r>
      <w:r w:rsidRPr="00C021CF">
        <w:rPr>
          <w:rFonts w:asciiTheme="majorHAnsi" w:hAnsiTheme="majorHAnsi" w:cstheme="majorHAnsi"/>
        </w:rPr>
        <w:t>.</w:t>
      </w:r>
    </w:p>
    <w:p w14:paraId="5E74764B" w14:textId="77777777" w:rsidR="00702C12" w:rsidRPr="00C021CF" w:rsidRDefault="00702C12" w:rsidP="00C31BF1">
      <w:pPr>
        <w:pStyle w:val="ListParagraph"/>
        <w:numPr>
          <w:ilvl w:val="0"/>
          <w:numId w:val="4"/>
        </w:numPr>
        <w:spacing w:after="0" w:line="240" w:lineRule="auto"/>
        <w:ind w:left="990" w:hanging="450"/>
        <w:rPr>
          <w:rFonts w:asciiTheme="majorHAnsi" w:hAnsiTheme="majorHAnsi" w:cstheme="majorHAnsi"/>
        </w:rPr>
      </w:pPr>
      <w:r w:rsidRPr="00C021CF">
        <w:rPr>
          <w:rFonts w:asciiTheme="majorHAnsi" w:hAnsiTheme="majorHAnsi" w:cstheme="majorHAnsi"/>
        </w:rPr>
        <w:t>Public outreach and development of relationships with immigrant communities and organized labor to create pipeline for enforcement cases.</w:t>
      </w:r>
      <w:r>
        <w:rPr>
          <w:rStyle w:val="FootnoteReference"/>
          <w:rFonts w:asciiTheme="majorHAnsi" w:hAnsiTheme="majorHAnsi" w:cstheme="majorHAnsi"/>
        </w:rPr>
        <w:footnoteReference w:customMarkFollows="1" w:id="43"/>
        <w:t>43</w:t>
      </w:r>
      <w:r w:rsidRPr="00C021CF">
        <w:rPr>
          <w:rFonts w:asciiTheme="majorHAnsi" w:hAnsiTheme="majorHAnsi" w:cstheme="majorHAnsi"/>
        </w:rPr>
        <w:t xml:space="preserve"> </w:t>
      </w:r>
    </w:p>
    <w:p w14:paraId="34EB0B31" w14:textId="77777777" w:rsidR="00702C12" w:rsidRPr="00C021CF" w:rsidRDefault="00702C12" w:rsidP="00C31BF1">
      <w:pPr>
        <w:pStyle w:val="ListParagraph"/>
        <w:numPr>
          <w:ilvl w:val="0"/>
          <w:numId w:val="4"/>
        </w:numPr>
        <w:spacing w:after="0" w:line="240" w:lineRule="auto"/>
        <w:ind w:left="990" w:hanging="450"/>
        <w:rPr>
          <w:rFonts w:asciiTheme="majorHAnsi" w:hAnsiTheme="majorHAnsi" w:cstheme="majorHAnsi"/>
        </w:rPr>
      </w:pPr>
      <w:r w:rsidRPr="00C021CF">
        <w:rPr>
          <w:rFonts w:asciiTheme="majorHAnsi" w:hAnsiTheme="majorHAnsi" w:cstheme="majorHAnsi"/>
        </w:rPr>
        <w:t>Publicize and educate through strategic communications about worker’s rights and employer’s obligations under prevailing wage and hour laws.</w:t>
      </w:r>
      <w:r>
        <w:rPr>
          <w:rStyle w:val="FootnoteReference"/>
          <w:rFonts w:asciiTheme="majorHAnsi" w:hAnsiTheme="majorHAnsi" w:cstheme="majorHAnsi"/>
        </w:rPr>
        <w:footnoteReference w:customMarkFollows="1" w:id="44"/>
        <w:t>44</w:t>
      </w:r>
      <w:r w:rsidRPr="00C021CF">
        <w:rPr>
          <w:rFonts w:asciiTheme="majorHAnsi" w:hAnsiTheme="majorHAnsi" w:cstheme="majorHAnsi"/>
        </w:rPr>
        <w:t xml:space="preserve">  Information is often the b</w:t>
      </w:r>
      <w:r>
        <w:rPr>
          <w:rFonts w:asciiTheme="majorHAnsi" w:hAnsiTheme="majorHAnsi" w:cstheme="majorHAnsi"/>
        </w:rPr>
        <w:t>est</w:t>
      </w:r>
      <w:r w:rsidRPr="00C021CF">
        <w:rPr>
          <w:rFonts w:asciiTheme="majorHAnsi" w:hAnsiTheme="majorHAnsi" w:cstheme="majorHAnsi"/>
        </w:rPr>
        <w:t xml:space="preserve"> way to prevent victimization and help well intentioned businesses comply with the law. </w:t>
      </w:r>
    </w:p>
    <w:p w14:paraId="38191884" w14:textId="77777777" w:rsidR="00702C12" w:rsidRDefault="00702C12" w:rsidP="0058265A">
      <w:pPr>
        <w:rPr>
          <w:sz w:val="20"/>
          <w:szCs w:val="20"/>
          <w:lang w:val="en-US"/>
        </w:rPr>
      </w:pPr>
    </w:p>
    <w:p w14:paraId="35CE3EE5" w14:textId="77777777" w:rsidR="00702C12" w:rsidRDefault="00702C12" w:rsidP="0058265A">
      <w:pPr>
        <w:rPr>
          <w:sz w:val="20"/>
          <w:szCs w:val="20"/>
          <w:lang w:val="en-US"/>
        </w:rPr>
      </w:pPr>
    </w:p>
    <w:p w14:paraId="444FA0D9" w14:textId="77777777" w:rsidR="00702C12" w:rsidRDefault="00702C12" w:rsidP="0058265A">
      <w:pPr>
        <w:rPr>
          <w:i/>
          <w:iCs/>
          <w:sz w:val="20"/>
          <w:szCs w:val="20"/>
        </w:rPr>
      </w:pPr>
      <w:r w:rsidRPr="00F51A2B">
        <w:rPr>
          <w:i/>
          <w:iCs/>
          <w:sz w:val="20"/>
          <w:szCs w:val="20"/>
        </w:rPr>
        <w:t>The Leadership Center for Attorney General Studies is a non-partisan organization dedicated to educating the public about the important role state attorneys general play in addressing pressing issues, enforcing laws, and bringing about change.</w:t>
      </w:r>
    </w:p>
    <w:p w14:paraId="3DDA6D83" w14:textId="77777777" w:rsidR="00702C12" w:rsidRDefault="00702C12" w:rsidP="0058265A">
      <w:pPr>
        <w:rPr>
          <w:i/>
          <w:iCs/>
          <w:sz w:val="20"/>
          <w:szCs w:val="20"/>
        </w:rPr>
      </w:pPr>
    </w:p>
    <w:p w14:paraId="7FA81BC5" w14:textId="33B795BE" w:rsidR="00702C12" w:rsidRDefault="00702C12" w:rsidP="0058265A">
      <w:pPr>
        <w:rPr>
          <w:i/>
          <w:iCs/>
          <w:sz w:val="20"/>
          <w:szCs w:val="20"/>
        </w:rPr>
      </w:pPr>
      <w:r>
        <w:rPr>
          <w:i/>
          <w:iCs/>
          <w:sz w:val="20"/>
          <w:szCs w:val="20"/>
        </w:rPr>
        <w:t>Josh Diamond is the former Deputy Attorney General for the Vermont Attorney General’s Office.</w:t>
      </w:r>
      <w:r w:rsidR="009F5383">
        <w:rPr>
          <w:i/>
          <w:iCs/>
          <w:sz w:val="20"/>
          <w:szCs w:val="20"/>
        </w:rPr>
        <w:t xml:space="preserve"> </w:t>
      </w:r>
      <w:r>
        <w:rPr>
          <w:i/>
          <w:iCs/>
          <w:sz w:val="20"/>
          <w:szCs w:val="20"/>
        </w:rPr>
        <w:t xml:space="preserve">He currently practices law with Dinse, P.C., in Burlington, Vermont, and is a Legal Fellow for the Leadership Center for Attorney General Studies.  </w:t>
      </w:r>
    </w:p>
    <w:p w14:paraId="6F3E44F5" w14:textId="77777777" w:rsidR="00702C12" w:rsidRDefault="00702C12" w:rsidP="0058265A">
      <w:pPr>
        <w:rPr>
          <w:i/>
          <w:iCs/>
          <w:sz w:val="20"/>
          <w:szCs w:val="20"/>
        </w:rPr>
      </w:pPr>
    </w:p>
    <w:p w14:paraId="42E85687" w14:textId="77777777" w:rsidR="00702C12" w:rsidRDefault="00702C12" w:rsidP="0058265A">
      <w:pPr>
        <w:rPr>
          <w:i/>
          <w:iCs/>
          <w:sz w:val="20"/>
          <w:szCs w:val="20"/>
        </w:rPr>
      </w:pPr>
      <w:r>
        <w:rPr>
          <w:i/>
          <w:iCs/>
          <w:sz w:val="20"/>
          <w:szCs w:val="20"/>
        </w:rPr>
        <w:t xml:space="preserve">Grace Pak is the Policy Associate Counsel for the </w:t>
      </w:r>
      <w:r w:rsidRPr="00BA0726">
        <w:rPr>
          <w:i/>
          <w:iCs/>
          <w:sz w:val="20"/>
          <w:szCs w:val="20"/>
          <w:lang w:val="en-US"/>
        </w:rPr>
        <w:t>Leadership Center for Attorney General Studies and the Progressive State Leaders Committee.</w:t>
      </w:r>
      <w:r>
        <w:rPr>
          <w:i/>
          <w:iCs/>
          <w:sz w:val="20"/>
          <w:szCs w:val="20"/>
          <w:lang w:val="en-US"/>
        </w:rPr>
        <w:t xml:space="preserve"> Previously, she </w:t>
      </w:r>
      <w:r w:rsidRPr="00AB764A">
        <w:rPr>
          <w:i/>
          <w:iCs/>
          <w:sz w:val="20"/>
          <w:szCs w:val="20"/>
          <w:lang w:val="en-US"/>
        </w:rPr>
        <w:t xml:space="preserve">practiced employment law, focusing on wage and hour class action, </w:t>
      </w:r>
      <w:r>
        <w:rPr>
          <w:i/>
          <w:iCs/>
          <w:sz w:val="20"/>
          <w:szCs w:val="20"/>
          <w:lang w:val="en-US"/>
        </w:rPr>
        <w:t>Private Attorneys General Act (</w:t>
      </w:r>
      <w:r w:rsidRPr="00AB764A">
        <w:rPr>
          <w:i/>
          <w:iCs/>
          <w:sz w:val="20"/>
          <w:szCs w:val="20"/>
          <w:lang w:val="en-US"/>
        </w:rPr>
        <w:t>PAGA</w:t>
      </w:r>
      <w:r>
        <w:rPr>
          <w:i/>
          <w:iCs/>
          <w:sz w:val="20"/>
          <w:szCs w:val="20"/>
          <w:lang w:val="en-US"/>
        </w:rPr>
        <w:t>)</w:t>
      </w:r>
      <w:r w:rsidRPr="00AB764A">
        <w:rPr>
          <w:i/>
          <w:iCs/>
          <w:sz w:val="20"/>
          <w:szCs w:val="20"/>
          <w:lang w:val="en-US"/>
        </w:rPr>
        <w:t xml:space="preserve"> representative suits, and wrongful termination/whistleblower cases.</w:t>
      </w:r>
    </w:p>
    <w:p w14:paraId="664C45B1" w14:textId="77777777" w:rsidR="00702C12" w:rsidRDefault="00702C12" w:rsidP="0058265A">
      <w:pPr>
        <w:rPr>
          <w:i/>
          <w:iCs/>
          <w:sz w:val="20"/>
          <w:szCs w:val="20"/>
        </w:rPr>
      </w:pPr>
    </w:p>
    <w:p w14:paraId="171A908A" w14:textId="41A79C5D" w:rsidR="00702C12" w:rsidRDefault="00702C12" w:rsidP="0058265A">
      <w:pPr>
        <w:rPr>
          <w:i/>
          <w:iCs/>
          <w:sz w:val="20"/>
          <w:szCs w:val="20"/>
        </w:rPr>
      </w:pPr>
      <w:r>
        <w:rPr>
          <w:i/>
          <w:iCs/>
          <w:sz w:val="20"/>
          <w:szCs w:val="20"/>
        </w:rPr>
        <w:t xml:space="preserve">Britteny Jenkins is the former </w:t>
      </w:r>
      <w:r w:rsidR="00FB3F14">
        <w:rPr>
          <w:i/>
          <w:iCs/>
          <w:sz w:val="20"/>
          <w:szCs w:val="20"/>
        </w:rPr>
        <w:t>Policy Director for the Leadership Center for Attorneys General Studies and Progressive State Leaders Committee. She is also a former Chief of Staff and Staff Director for the Subcommittee on Enviornment for the House Committee on Oversight and Reform in the U.S. House of Representatives. She also has several years of litigation experience, focused on commercial and bankr</w:t>
      </w:r>
      <w:r w:rsidR="00812B0D">
        <w:rPr>
          <w:i/>
          <w:iCs/>
          <w:sz w:val="20"/>
          <w:szCs w:val="20"/>
        </w:rPr>
        <w:t>up</w:t>
      </w:r>
      <w:r w:rsidR="00FB3F14">
        <w:rPr>
          <w:i/>
          <w:iCs/>
          <w:sz w:val="20"/>
          <w:szCs w:val="20"/>
        </w:rPr>
        <w:t>tcy</w:t>
      </w:r>
      <w:r w:rsidR="00812B0D">
        <w:rPr>
          <w:i/>
          <w:iCs/>
          <w:sz w:val="20"/>
          <w:szCs w:val="20"/>
        </w:rPr>
        <w:t xml:space="preserve"> litigation</w:t>
      </w:r>
      <w:r w:rsidR="00FB3F14">
        <w:rPr>
          <w:i/>
          <w:iCs/>
          <w:sz w:val="20"/>
          <w:szCs w:val="20"/>
        </w:rPr>
        <w:t xml:space="preserve">. </w:t>
      </w:r>
    </w:p>
    <w:p w14:paraId="7127AD8F" w14:textId="77777777" w:rsidR="00702C12" w:rsidRDefault="00702C12" w:rsidP="0058265A">
      <w:pPr>
        <w:rPr>
          <w:i/>
          <w:iCs/>
          <w:sz w:val="20"/>
          <w:szCs w:val="20"/>
        </w:rPr>
      </w:pPr>
    </w:p>
    <w:p w14:paraId="1A3A4654" w14:textId="77777777" w:rsidR="00702C12" w:rsidRPr="00BA0726" w:rsidRDefault="00702C12" w:rsidP="00BA0726">
      <w:pPr>
        <w:rPr>
          <w:i/>
          <w:iCs/>
          <w:sz w:val="20"/>
          <w:szCs w:val="20"/>
          <w:lang w:val="en-US"/>
        </w:rPr>
      </w:pPr>
      <w:r w:rsidRPr="00BA0726">
        <w:rPr>
          <w:i/>
          <w:iCs/>
          <w:sz w:val="20"/>
          <w:szCs w:val="20"/>
          <w:lang w:val="en-US"/>
        </w:rPr>
        <w:t xml:space="preserve">Jonathan Sclarsic is a former Assistant Attorney General and Director of the Division of Open Government in the Massachusetts Attorney General’s Office. He is also a former legislative director in the United States Senate. He currently serves as the Chief Operating Officer and General Counsel for the Leadership Center for Attorney General Studies and the Progressive State Leaders Committee. </w:t>
      </w:r>
    </w:p>
    <w:p w14:paraId="48A8D643" w14:textId="77777777" w:rsidR="00702C12" w:rsidRPr="004B07E3" w:rsidRDefault="00702C12" w:rsidP="0058265A">
      <w:pPr>
        <w:rPr>
          <w:sz w:val="20"/>
          <w:szCs w:val="20"/>
          <w:lang w:val="en-US"/>
        </w:rPr>
      </w:pPr>
    </w:p>
    <w:sectPr w:rsidR="00702C12" w:rsidRPr="004B07E3" w:rsidSect="0013243D">
      <w:foot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CB48" w14:textId="77777777" w:rsidR="0082569B" w:rsidRDefault="0082569B">
      <w:pPr>
        <w:spacing w:line="240" w:lineRule="auto"/>
      </w:pPr>
      <w:r>
        <w:separator/>
      </w:r>
    </w:p>
  </w:endnote>
  <w:endnote w:type="continuationSeparator" w:id="0">
    <w:p w14:paraId="035773A4" w14:textId="77777777" w:rsidR="0082569B" w:rsidRDefault="00825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958995"/>
      <w:docPartObj>
        <w:docPartGallery w:val="Page Numbers (Bottom of Page)"/>
        <w:docPartUnique/>
      </w:docPartObj>
    </w:sdtPr>
    <w:sdtEndPr>
      <w:rPr>
        <w:rFonts w:asciiTheme="majorHAnsi" w:hAnsiTheme="majorHAnsi" w:cstheme="majorHAnsi"/>
        <w:noProof/>
      </w:rPr>
    </w:sdtEndPr>
    <w:sdtContent>
      <w:p w14:paraId="2DBD3189" w14:textId="77777777" w:rsidR="00702C12" w:rsidRPr="007A53E2" w:rsidRDefault="00702C12">
        <w:pPr>
          <w:pStyle w:val="Footer"/>
          <w:jc w:val="center"/>
          <w:rPr>
            <w:rFonts w:asciiTheme="majorHAnsi" w:hAnsiTheme="majorHAnsi" w:cstheme="majorHAnsi"/>
          </w:rPr>
        </w:pPr>
        <w:r w:rsidRPr="007A53E2">
          <w:rPr>
            <w:rFonts w:asciiTheme="majorHAnsi" w:hAnsiTheme="majorHAnsi" w:cstheme="majorHAnsi"/>
          </w:rPr>
          <w:fldChar w:fldCharType="begin"/>
        </w:r>
        <w:r w:rsidRPr="007A53E2">
          <w:rPr>
            <w:rFonts w:asciiTheme="majorHAnsi" w:hAnsiTheme="majorHAnsi" w:cstheme="majorHAnsi"/>
          </w:rPr>
          <w:instrText xml:space="preserve"> PAGE   \* MERGEFORMAT </w:instrText>
        </w:r>
        <w:r w:rsidRPr="007A53E2">
          <w:rPr>
            <w:rFonts w:asciiTheme="majorHAnsi" w:hAnsiTheme="majorHAnsi" w:cstheme="majorHAnsi"/>
          </w:rPr>
          <w:fldChar w:fldCharType="separate"/>
        </w:r>
        <w:r w:rsidRPr="007A53E2">
          <w:rPr>
            <w:rFonts w:asciiTheme="majorHAnsi" w:hAnsiTheme="majorHAnsi" w:cstheme="majorHAnsi"/>
            <w:noProof/>
          </w:rPr>
          <w:t>7</w:t>
        </w:r>
        <w:r w:rsidRPr="007A53E2">
          <w:rPr>
            <w:rFonts w:asciiTheme="majorHAnsi" w:hAnsiTheme="majorHAnsi" w:cstheme="majorHAnsi"/>
            <w:noProof/>
          </w:rPr>
          <w:fldChar w:fldCharType="end"/>
        </w:r>
      </w:p>
    </w:sdtContent>
  </w:sdt>
  <w:p w14:paraId="4E222D1C" w14:textId="77777777" w:rsidR="00702C12" w:rsidRDefault="00702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ED21B" w14:textId="77777777" w:rsidR="0082569B" w:rsidRDefault="0082569B" w:rsidP="0058265A">
      <w:pPr>
        <w:spacing w:line="240" w:lineRule="auto"/>
      </w:pPr>
      <w:r>
        <w:separator/>
      </w:r>
    </w:p>
  </w:footnote>
  <w:footnote w:type="continuationSeparator" w:id="0">
    <w:p w14:paraId="4C5AF9DB" w14:textId="77777777" w:rsidR="0082569B" w:rsidRDefault="0082569B" w:rsidP="0058265A">
      <w:pPr>
        <w:spacing w:line="240" w:lineRule="auto"/>
      </w:pPr>
      <w:r>
        <w:continuationSeparator/>
      </w:r>
    </w:p>
  </w:footnote>
  <w:footnote w:id="1">
    <w:p w14:paraId="09DFC098" w14:textId="77777777" w:rsidR="00702C12" w:rsidRDefault="00702C12">
      <w:pPr>
        <w:pStyle w:val="FootnoteText"/>
      </w:pPr>
      <w:r>
        <w:rPr>
          <w:rStyle w:val="FootnoteReference"/>
        </w:rPr>
        <w:footnoteRef/>
      </w:r>
      <w:r>
        <w:t xml:space="preserve"> </w:t>
      </w:r>
      <w:r w:rsidRPr="009716AE">
        <w:rPr>
          <w:rFonts w:asciiTheme="majorHAnsi" w:hAnsiTheme="majorHAnsi" w:cstheme="majorHAnsi"/>
        </w:rPr>
        <w:t>MacDonald, K. (2002). (In)dependent contractors: Combatting employee misclassification in Title 26</w:t>
      </w:r>
      <w:r>
        <w:rPr>
          <w:rFonts w:asciiTheme="majorHAnsi" w:hAnsiTheme="majorHAnsi" w:cstheme="majorHAnsi"/>
        </w:rPr>
        <w:t xml:space="preserve">. </w:t>
      </w:r>
      <w:r w:rsidRPr="009716AE">
        <w:rPr>
          <w:rFonts w:asciiTheme="majorHAnsi" w:hAnsiTheme="majorHAnsi" w:cstheme="majorHAnsi"/>
        </w:rPr>
        <w:t>https://ecollections.law.fiu.edu/cgi/viewcontent.cgi?article=1511&amp;amp;context=lawreview</w:t>
      </w:r>
    </w:p>
  </w:footnote>
  <w:footnote w:id="2">
    <w:p w14:paraId="67EC4CAD" w14:textId="77777777" w:rsidR="00702C12" w:rsidRDefault="00702C12">
      <w:pPr>
        <w:pStyle w:val="FootnoteText"/>
      </w:pPr>
      <w:r>
        <w:rPr>
          <w:rStyle w:val="FootnoteReference"/>
        </w:rPr>
        <w:footnoteRef/>
      </w:r>
      <w:r>
        <w:t xml:space="preserve"> </w:t>
      </w:r>
      <w:r w:rsidRPr="009716AE">
        <w:rPr>
          <w:rFonts w:asciiTheme="majorHAnsi" w:hAnsiTheme="majorHAnsi" w:cstheme="majorHAnsi"/>
        </w:rPr>
        <w:t>Tierney, J. (2018, January 17). Misclassification. https://www.stateag.org/policy-areas/labor/labor-resources/2016/11/22/misclassification</w:t>
      </w:r>
    </w:p>
  </w:footnote>
  <w:footnote w:id="3">
    <w:p w14:paraId="6F46714C" w14:textId="77777777" w:rsidR="00702C12" w:rsidRPr="00C021CF" w:rsidRDefault="00702C12" w:rsidP="006E103B">
      <w:pPr>
        <w:pStyle w:val="FootnoteText"/>
        <w:rPr>
          <w:rFonts w:asciiTheme="majorHAnsi" w:hAnsiTheme="majorHAnsi" w:cstheme="majorHAnsi"/>
        </w:rPr>
      </w:pPr>
      <w:r w:rsidRPr="00C021CF">
        <w:rPr>
          <w:rStyle w:val="FootnoteReference"/>
          <w:rFonts w:asciiTheme="majorHAnsi" w:hAnsiTheme="majorHAnsi" w:cstheme="majorHAnsi"/>
        </w:rPr>
        <w:footnoteRef/>
      </w:r>
      <w:r w:rsidRPr="00C021CF">
        <w:rPr>
          <w:rFonts w:asciiTheme="majorHAnsi" w:hAnsiTheme="majorHAnsi" w:cstheme="majorHAnsi"/>
        </w:rPr>
        <w:t xml:space="preserve"> Zipperer</w:t>
      </w:r>
      <w:r>
        <w:rPr>
          <w:rFonts w:asciiTheme="majorHAnsi" w:hAnsiTheme="majorHAnsi" w:cstheme="majorHAnsi"/>
        </w:rPr>
        <w:t xml:space="preserve"> B.</w:t>
      </w:r>
      <w:r w:rsidRPr="00C021CF">
        <w:rPr>
          <w:rFonts w:asciiTheme="majorHAnsi" w:hAnsiTheme="majorHAnsi" w:cstheme="majorHAnsi"/>
        </w:rPr>
        <w:t xml:space="preserve"> </w:t>
      </w:r>
      <w:r w:rsidRPr="009A68BE">
        <w:rPr>
          <w:rFonts w:asciiTheme="majorHAnsi" w:hAnsiTheme="majorHAnsi" w:cstheme="majorHAnsi"/>
        </w:rPr>
        <w:t>et al.</w:t>
      </w:r>
      <w:r>
        <w:rPr>
          <w:rFonts w:asciiTheme="majorHAnsi" w:hAnsiTheme="majorHAnsi" w:cstheme="majorHAnsi"/>
        </w:rPr>
        <w:t xml:space="preserve"> (2022, June 1).</w:t>
      </w:r>
      <w:r w:rsidRPr="00C021CF">
        <w:rPr>
          <w:rFonts w:asciiTheme="majorHAnsi" w:hAnsiTheme="majorHAnsi" w:cstheme="majorHAnsi"/>
        </w:rPr>
        <w:t xml:space="preserve"> </w:t>
      </w:r>
      <w:r w:rsidRPr="00152833">
        <w:rPr>
          <w:rFonts w:asciiTheme="majorHAnsi" w:hAnsiTheme="majorHAnsi" w:cstheme="majorHAnsi"/>
        </w:rPr>
        <w:t>National Survey of Gig Workers Paints A Picture of Poor Working Conditions, Low Pay, Economic Policy Institute</w:t>
      </w:r>
      <w:r>
        <w:rPr>
          <w:rFonts w:asciiTheme="majorHAnsi" w:hAnsiTheme="majorHAnsi" w:cstheme="majorHAnsi"/>
        </w:rPr>
        <w:t xml:space="preserve">. </w:t>
      </w:r>
      <w:r w:rsidRPr="00152833">
        <w:rPr>
          <w:rFonts w:asciiTheme="majorHAnsi" w:hAnsiTheme="majorHAnsi" w:cstheme="majorHAnsi"/>
        </w:rPr>
        <w:t>https://www.epi.org/publication/gig-worker-survey/</w:t>
      </w:r>
    </w:p>
  </w:footnote>
  <w:footnote w:id="4">
    <w:p w14:paraId="7C755263" w14:textId="77777777" w:rsidR="00702C12" w:rsidRPr="005561ED" w:rsidRDefault="00702C12" w:rsidP="006E103B">
      <w:pPr>
        <w:pStyle w:val="FootnoteText"/>
        <w:rPr>
          <w:lang w:val="en"/>
        </w:rPr>
      </w:pPr>
      <w:r>
        <w:rPr>
          <w:rStyle w:val="FootnoteReference"/>
        </w:rPr>
        <w:footnoteRef/>
      </w:r>
      <w:r>
        <w:t xml:space="preserve"> </w:t>
      </w:r>
      <w:r w:rsidRPr="005561ED">
        <w:rPr>
          <w:rFonts w:asciiTheme="majorHAnsi" w:hAnsiTheme="majorHAnsi" w:cstheme="majorHAnsi"/>
        </w:rPr>
        <w:t>Gilles,</w:t>
      </w:r>
      <w:r>
        <w:rPr>
          <w:rFonts w:asciiTheme="majorHAnsi" w:hAnsiTheme="majorHAnsi" w:cstheme="majorHAnsi"/>
        </w:rPr>
        <w:t xml:space="preserve"> S.</w:t>
      </w:r>
      <w:r w:rsidRPr="005561ED">
        <w:rPr>
          <w:rFonts w:asciiTheme="majorHAnsi" w:hAnsiTheme="majorHAnsi" w:cstheme="majorHAnsi"/>
        </w:rPr>
        <w:t xml:space="preserve"> </w:t>
      </w:r>
      <w:r>
        <w:rPr>
          <w:rFonts w:asciiTheme="majorHAnsi" w:hAnsiTheme="majorHAnsi" w:cstheme="majorHAnsi"/>
        </w:rPr>
        <w:t xml:space="preserve">(2022, March 16). </w:t>
      </w:r>
      <w:r w:rsidRPr="00152833">
        <w:rPr>
          <w:rFonts w:asciiTheme="majorHAnsi" w:hAnsiTheme="majorHAnsi" w:cstheme="majorHAnsi"/>
        </w:rPr>
        <w:t>Benefits issues that arise upon misclassification of employees. Foley &amp; Lardner LLP.</w:t>
      </w:r>
      <w:r>
        <w:rPr>
          <w:rFonts w:asciiTheme="majorHAnsi" w:hAnsiTheme="majorHAnsi" w:cstheme="majorHAnsi"/>
        </w:rPr>
        <w:t xml:space="preserve"> </w:t>
      </w:r>
      <w:r w:rsidRPr="00152833">
        <w:rPr>
          <w:rFonts w:asciiTheme="majorHAnsi" w:hAnsiTheme="majorHAnsi" w:cstheme="majorHAnsi"/>
        </w:rPr>
        <w:t>https://www.foley.com/en/insights/publications/2022/03/benefits-issues-misclassification-of-employees</w:t>
      </w:r>
    </w:p>
  </w:footnote>
  <w:footnote w:id="5">
    <w:p w14:paraId="3BE6A1D1" w14:textId="77777777" w:rsidR="00702C12" w:rsidRPr="005561ED" w:rsidRDefault="00702C12" w:rsidP="006E103B">
      <w:pPr>
        <w:pStyle w:val="FootnoteText"/>
        <w:rPr>
          <w:lang w:val="en"/>
        </w:rPr>
      </w:pPr>
      <w:r>
        <w:rPr>
          <w:rStyle w:val="FootnoteReference"/>
        </w:rPr>
        <w:footnoteRef/>
      </w:r>
      <w:r>
        <w:t xml:space="preserve"> </w:t>
      </w:r>
      <w:r w:rsidRPr="005561ED">
        <w:rPr>
          <w:rFonts w:asciiTheme="majorHAnsi" w:hAnsiTheme="majorHAnsi" w:cstheme="majorHAnsi"/>
        </w:rPr>
        <w:t xml:space="preserve">Rhinehart, </w:t>
      </w:r>
      <w:r>
        <w:rPr>
          <w:rFonts w:asciiTheme="majorHAnsi" w:hAnsiTheme="majorHAnsi" w:cstheme="majorHAnsi"/>
        </w:rPr>
        <w:t xml:space="preserve">L. et al. (2021, June 16). </w:t>
      </w:r>
      <w:r w:rsidRPr="00412185">
        <w:rPr>
          <w:rFonts w:asciiTheme="majorHAnsi" w:hAnsiTheme="majorHAnsi" w:cstheme="majorHAnsi"/>
        </w:rPr>
        <w:t>Misclassification, the ABC test, and employee status: The California experience and its relevance to current policy debates. Economic Policy Institute</w:t>
      </w:r>
      <w:r>
        <w:rPr>
          <w:rFonts w:asciiTheme="majorHAnsi" w:hAnsiTheme="majorHAnsi" w:cstheme="majorHAnsi"/>
        </w:rPr>
        <w:t xml:space="preserve">. </w:t>
      </w:r>
      <w:r w:rsidRPr="00412185">
        <w:rPr>
          <w:rFonts w:asciiTheme="majorHAnsi" w:hAnsiTheme="majorHAnsi" w:cstheme="majorHAnsi"/>
        </w:rPr>
        <w:t>https://www.epi.org/publication/misclassification-the-abc-test-and-employee-status-the-california-experience-and-its-relevance-to-current-policy-debates/</w:t>
      </w:r>
    </w:p>
  </w:footnote>
  <w:footnote w:id="6">
    <w:p w14:paraId="19DAA086" w14:textId="77777777" w:rsidR="00702C12" w:rsidRDefault="00702C12">
      <w:pPr>
        <w:pStyle w:val="FootnoteText"/>
      </w:pPr>
      <w:r>
        <w:rPr>
          <w:rStyle w:val="FootnoteReference"/>
        </w:rPr>
        <w:footnoteRef/>
      </w:r>
      <w:r>
        <w:t xml:space="preserve"> </w:t>
      </w:r>
      <w:r w:rsidRPr="009716AE">
        <w:rPr>
          <w:rFonts w:asciiTheme="majorHAnsi" w:hAnsiTheme="majorHAnsi" w:cstheme="majorHAnsi"/>
        </w:rPr>
        <w:t xml:space="preserve">Lee, J. et al. </w:t>
      </w:r>
      <w:r>
        <w:rPr>
          <w:rFonts w:asciiTheme="majorHAnsi" w:hAnsiTheme="majorHAnsi" w:cstheme="majorHAnsi"/>
        </w:rPr>
        <w:t>(</w:t>
      </w:r>
      <w:r w:rsidRPr="009716AE">
        <w:rPr>
          <w:rFonts w:asciiTheme="majorHAnsi" w:hAnsiTheme="majorHAnsi" w:cstheme="majorHAnsi"/>
        </w:rPr>
        <w:t xml:space="preserve">2019, June). </w:t>
      </w:r>
      <w:r w:rsidRPr="00476CB6">
        <w:rPr>
          <w:rFonts w:asciiTheme="majorHAnsi" w:hAnsiTheme="majorHAnsi" w:cstheme="majorHAnsi"/>
        </w:rPr>
        <w:t>Regulating Wage Theft</w:t>
      </w:r>
      <w:r>
        <w:rPr>
          <w:rFonts w:asciiTheme="majorHAnsi" w:hAnsiTheme="majorHAnsi" w:cstheme="majorHAnsi"/>
        </w:rPr>
        <w:t xml:space="preserve">. </w:t>
      </w:r>
      <w:r w:rsidRPr="009716AE">
        <w:rPr>
          <w:rFonts w:asciiTheme="majorHAnsi" w:hAnsiTheme="majorHAnsi" w:cstheme="majorHAnsi"/>
        </w:rPr>
        <w:t>https://scholarshare.temple.edu/bitstream/handle/20.500.12613/6755/Lee-JournalArticle-2019-.pdf?sequence=1</w:t>
      </w:r>
    </w:p>
  </w:footnote>
  <w:footnote w:id="7">
    <w:p w14:paraId="734D0719" w14:textId="77777777" w:rsidR="00702C12" w:rsidRPr="00476CB6" w:rsidRDefault="00702C12">
      <w:pPr>
        <w:pStyle w:val="FootnoteText"/>
        <w:rPr>
          <w:rFonts w:asciiTheme="majorHAnsi" w:hAnsiTheme="majorHAnsi" w:cstheme="majorHAnsi"/>
        </w:rPr>
      </w:pPr>
      <w:r>
        <w:rPr>
          <w:rStyle w:val="FootnoteReference"/>
        </w:rPr>
        <w:footnoteRef/>
      </w:r>
      <w:r>
        <w:t xml:space="preserve"> </w:t>
      </w:r>
      <w:r w:rsidRPr="009716AE">
        <w:rPr>
          <w:rFonts w:asciiTheme="majorHAnsi" w:hAnsiTheme="majorHAnsi" w:cstheme="majorHAnsi"/>
        </w:rPr>
        <w:t xml:space="preserve">Lee, J. et al. </w:t>
      </w:r>
      <w:r>
        <w:rPr>
          <w:rFonts w:asciiTheme="majorHAnsi" w:hAnsiTheme="majorHAnsi" w:cstheme="majorHAnsi"/>
        </w:rPr>
        <w:t>(</w:t>
      </w:r>
      <w:r w:rsidRPr="009716AE">
        <w:rPr>
          <w:rFonts w:asciiTheme="majorHAnsi" w:hAnsiTheme="majorHAnsi" w:cstheme="majorHAnsi"/>
        </w:rPr>
        <w:t xml:space="preserve">2019, June). </w:t>
      </w:r>
      <w:r w:rsidRPr="00476CB6">
        <w:rPr>
          <w:rFonts w:asciiTheme="majorHAnsi" w:hAnsiTheme="majorHAnsi" w:cstheme="majorHAnsi"/>
        </w:rPr>
        <w:t>Regulating Wage Theft</w:t>
      </w:r>
      <w:r>
        <w:rPr>
          <w:rFonts w:asciiTheme="majorHAnsi" w:hAnsiTheme="majorHAnsi" w:cstheme="majorHAnsi"/>
        </w:rPr>
        <w:t xml:space="preserve">., 780. </w:t>
      </w:r>
      <w:r w:rsidRPr="009716AE">
        <w:rPr>
          <w:rFonts w:asciiTheme="majorHAnsi" w:hAnsiTheme="majorHAnsi" w:cstheme="majorHAnsi"/>
        </w:rPr>
        <w:t>https://scholarshare.temple.edu/bitstream/handle/20.500.12613/6755/Lee-JournalArticle-2019-.pdf?sequence=1</w:t>
      </w:r>
    </w:p>
  </w:footnote>
  <w:footnote w:id="8">
    <w:p w14:paraId="6D1642CA" w14:textId="77777777" w:rsidR="00702C12" w:rsidRDefault="00702C12">
      <w:pPr>
        <w:pStyle w:val="FootnoteText"/>
      </w:pPr>
      <w:r w:rsidRPr="00476CB6">
        <w:rPr>
          <w:rStyle w:val="FootnoteReference"/>
          <w:rFonts w:asciiTheme="majorHAnsi" w:hAnsiTheme="majorHAnsi" w:cstheme="majorHAnsi"/>
        </w:rPr>
        <w:footnoteRef/>
      </w:r>
      <w:r>
        <w:rPr>
          <w:rFonts w:asciiTheme="majorHAnsi" w:hAnsiTheme="majorHAnsi" w:cstheme="majorHAnsi"/>
        </w:rPr>
        <w:t xml:space="preserve"> </w:t>
      </w:r>
      <w:r w:rsidRPr="009716AE">
        <w:rPr>
          <w:rFonts w:asciiTheme="majorHAnsi" w:hAnsiTheme="majorHAnsi" w:cstheme="majorHAnsi"/>
        </w:rPr>
        <w:t xml:space="preserve">Lee, J. et al. </w:t>
      </w:r>
      <w:r>
        <w:rPr>
          <w:rFonts w:asciiTheme="majorHAnsi" w:hAnsiTheme="majorHAnsi" w:cstheme="majorHAnsi"/>
        </w:rPr>
        <w:t>(</w:t>
      </w:r>
      <w:r w:rsidRPr="009716AE">
        <w:rPr>
          <w:rFonts w:asciiTheme="majorHAnsi" w:hAnsiTheme="majorHAnsi" w:cstheme="majorHAnsi"/>
        </w:rPr>
        <w:t xml:space="preserve">2019, June). </w:t>
      </w:r>
      <w:r w:rsidRPr="00476CB6">
        <w:rPr>
          <w:rFonts w:asciiTheme="majorHAnsi" w:hAnsiTheme="majorHAnsi" w:cstheme="majorHAnsi"/>
        </w:rPr>
        <w:t>Regulating Wage Theft</w:t>
      </w:r>
      <w:r>
        <w:rPr>
          <w:rFonts w:asciiTheme="majorHAnsi" w:hAnsiTheme="majorHAnsi" w:cstheme="majorHAnsi"/>
        </w:rPr>
        <w:t xml:space="preserve">., 765. </w:t>
      </w:r>
      <w:r w:rsidRPr="00C31BF1">
        <w:rPr>
          <w:rFonts w:asciiTheme="majorHAnsi" w:hAnsiTheme="majorHAnsi" w:cstheme="majorHAnsi"/>
        </w:rPr>
        <w:t>https://scholarshare.temple.edu/bitstream/handle/20.500.12613/6755/Lee-JournalArticle-2019-.pdf?sequence=1</w:t>
      </w:r>
    </w:p>
  </w:footnote>
  <w:footnote w:id="9">
    <w:p w14:paraId="0A0D3134" w14:textId="2F6797D7" w:rsidR="00702C12" w:rsidRPr="00C021CF" w:rsidRDefault="00702C12" w:rsidP="0058265A">
      <w:pPr>
        <w:pStyle w:val="FootnoteText"/>
        <w:rPr>
          <w:rFonts w:asciiTheme="majorHAnsi" w:hAnsiTheme="majorHAnsi" w:cstheme="majorHAnsi"/>
        </w:rPr>
      </w:pPr>
      <w:r w:rsidRPr="00C021CF">
        <w:rPr>
          <w:rStyle w:val="FootnoteReference"/>
          <w:rFonts w:asciiTheme="majorHAnsi" w:hAnsiTheme="majorHAnsi" w:cstheme="majorHAnsi"/>
        </w:rPr>
        <w:footnoteRef/>
      </w:r>
      <w:r w:rsidRPr="00C021CF">
        <w:rPr>
          <w:rFonts w:asciiTheme="majorHAnsi" w:hAnsiTheme="majorHAnsi" w:cstheme="majorHAnsi"/>
        </w:rPr>
        <w:t xml:space="preserve"> Mangundayao</w:t>
      </w:r>
      <w:r>
        <w:rPr>
          <w:rFonts w:asciiTheme="majorHAnsi" w:hAnsiTheme="majorHAnsi" w:cstheme="majorHAnsi"/>
        </w:rPr>
        <w:t>, I.</w:t>
      </w:r>
      <w:r w:rsidRPr="00C021CF">
        <w:rPr>
          <w:rFonts w:asciiTheme="majorHAnsi" w:hAnsiTheme="majorHAnsi" w:cstheme="majorHAnsi"/>
        </w:rPr>
        <w:t xml:space="preserve"> et al. </w:t>
      </w:r>
      <w:r>
        <w:rPr>
          <w:rFonts w:asciiTheme="majorHAnsi" w:hAnsiTheme="majorHAnsi" w:cstheme="majorHAnsi"/>
        </w:rPr>
        <w:t xml:space="preserve">(2021, December 20). </w:t>
      </w:r>
      <w:r w:rsidRPr="00C021CF">
        <w:rPr>
          <w:rFonts w:asciiTheme="majorHAnsi" w:hAnsiTheme="majorHAnsi" w:cstheme="majorHAnsi"/>
        </w:rPr>
        <w:t>More Than $3 Billion in Stolen Wages Recovered For Workers Between 2017 and 2020, Economic Policy Institute</w:t>
      </w:r>
      <w:r>
        <w:rPr>
          <w:rFonts w:asciiTheme="majorHAnsi" w:hAnsiTheme="majorHAnsi" w:cstheme="majorHAnsi"/>
        </w:rPr>
        <w:t xml:space="preserve">. </w:t>
      </w:r>
      <w:r w:rsidRPr="006F4A2B">
        <w:rPr>
          <w:rFonts w:asciiTheme="majorHAnsi" w:hAnsiTheme="majorHAnsi" w:cstheme="majorHAnsi"/>
        </w:rPr>
        <w:t>https://www.epi.org/publication/wage-theft-2021/</w:t>
      </w:r>
    </w:p>
  </w:footnote>
  <w:footnote w:id="10">
    <w:p w14:paraId="37254812" w14:textId="3438D6D7" w:rsidR="00702C12" w:rsidRPr="00C021CF" w:rsidRDefault="00702C12" w:rsidP="0058265A">
      <w:pPr>
        <w:pStyle w:val="FootnoteText"/>
        <w:rPr>
          <w:rFonts w:asciiTheme="majorHAnsi" w:hAnsiTheme="majorHAnsi" w:cstheme="majorHAnsi"/>
        </w:rPr>
      </w:pPr>
      <w:r w:rsidRPr="00C021CF">
        <w:rPr>
          <w:rStyle w:val="FootnoteReference"/>
          <w:rFonts w:asciiTheme="majorHAnsi" w:hAnsiTheme="majorHAnsi" w:cstheme="majorHAnsi"/>
        </w:rPr>
        <w:footnoteRef/>
      </w:r>
      <w:r w:rsidRPr="00C021CF">
        <w:rPr>
          <w:rFonts w:asciiTheme="majorHAnsi" w:hAnsiTheme="majorHAnsi" w:cstheme="majorHAnsi"/>
        </w:rPr>
        <w:t xml:space="preserve"> Mangundayao</w:t>
      </w:r>
      <w:r>
        <w:rPr>
          <w:rFonts w:asciiTheme="majorHAnsi" w:hAnsiTheme="majorHAnsi" w:cstheme="majorHAnsi"/>
        </w:rPr>
        <w:t>, I.</w:t>
      </w:r>
      <w:r w:rsidRPr="00C021CF">
        <w:rPr>
          <w:rFonts w:asciiTheme="majorHAnsi" w:hAnsiTheme="majorHAnsi" w:cstheme="majorHAnsi"/>
        </w:rPr>
        <w:t xml:space="preserve"> et al. </w:t>
      </w:r>
      <w:r>
        <w:rPr>
          <w:rFonts w:asciiTheme="majorHAnsi" w:hAnsiTheme="majorHAnsi" w:cstheme="majorHAnsi"/>
        </w:rPr>
        <w:t xml:space="preserve">(2021, December 20). </w:t>
      </w:r>
      <w:r w:rsidRPr="00C021CF">
        <w:rPr>
          <w:rFonts w:asciiTheme="majorHAnsi" w:hAnsiTheme="majorHAnsi" w:cstheme="majorHAnsi"/>
        </w:rPr>
        <w:t>More Than $3 Billion in Stolen Wages Recovered For Workers Between 2017 and 2020, Economic Policy Institute</w:t>
      </w:r>
      <w:r>
        <w:rPr>
          <w:rFonts w:asciiTheme="majorHAnsi" w:hAnsiTheme="majorHAnsi" w:cstheme="majorHAnsi"/>
        </w:rPr>
        <w:t xml:space="preserve">., fn. 1. </w:t>
      </w:r>
      <w:r w:rsidRPr="006F4A2B">
        <w:rPr>
          <w:rFonts w:asciiTheme="majorHAnsi" w:hAnsiTheme="majorHAnsi" w:cstheme="majorHAnsi"/>
        </w:rPr>
        <w:t>https://www.epi.org/publication/wage-theft-2021/</w:t>
      </w:r>
    </w:p>
  </w:footnote>
  <w:footnote w:id="11">
    <w:p w14:paraId="2C4AAC83" w14:textId="0396D7BE" w:rsidR="00702C12" w:rsidRPr="00C021CF" w:rsidRDefault="00702C12" w:rsidP="0058265A">
      <w:pPr>
        <w:pStyle w:val="FootnoteText"/>
        <w:rPr>
          <w:rFonts w:asciiTheme="majorHAnsi" w:hAnsiTheme="majorHAnsi" w:cstheme="majorHAnsi"/>
        </w:rPr>
      </w:pPr>
      <w:r w:rsidRPr="00C021CF">
        <w:rPr>
          <w:rStyle w:val="FootnoteReference"/>
          <w:rFonts w:asciiTheme="majorHAnsi" w:hAnsiTheme="majorHAnsi" w:cstheme="majorHAnsi"/>
        </w:rPr>
        <w:footnoteRef/>
      </w:r>
      <w:r>
        <w:rPr>
          <w:rFonts w:asciiTheme="majorHAnsi" w:hAnsiTheme="majorHAnsi" w:cstheme="majorHAnsi"/>
        </w:rPr>
        <w:t xml:space="preserve"> </w:t>
      </w:r>
      <w:r w:rsidRPr="00C021CF">
        <w:rPr>
          <w:rFonts w:asciiTheme="majorHAnsi" w:hAnsiTheme="majorHAnsi" w:cstheme="majorHAnsi"/>
        </w:rPr>
        <w:t>Mangundayao</w:t>
      </w:r>
      <w:r>
        <w:rPr>
          <w:rFonts w:asciiTheme="majorHAnsi" w:hAnsiTheme="majorHAnsi" w:cstheme="majorHAnsi"/>
        </w:rPr>
        <w:t>, I.</w:t>
      </w:r>
      <w:r w:rsidRPr="00C021CF">
        <w:rPr>
          <w:rFonts w:asciiTheme="majorHAnsi" w:hAnsiTheme="majorHAnsi" w:cstheme="majorHAnsi"/>
        </w:rPr>
        <w:t xml:space="preserve"> et al. </w:t>
      </w:r>
      <w:r>
        <w:rPr>
          <w:rFonts w:asciiTheme="majorHAnsi" w:hAnsiTheme="majorHAnsi" w:cstheme="majorHAnsi"/>
        </w:rPr>
        <w:t xml:space="preserve">(2021, December 20). </w:t>
      </w:r>
      <w:r w:rsidRPr="00C021CF">
        <w:rPr>
          <w:rFonts w:asciiTheme="majorHAnsi" w:hAnsiTheme="majorHAnsi" w:cstheme="majorHAnsi"/>
        </w:rPr>
        <w:t>More Than $3 Billion in Stolen Wages Recovered For Workers Between 2017 and 2020, Economic Policy Institute</w:t>
      </w:r>
      <w:r>
        <w:rPr>
          <w:rFonts w:asciiTheme="majorHAnsi" w:hAnsiTheme="majorHAnsi" w:cstheme="majorHAnsi"/>
        </w:rPr>
        <w:t xml:space="preserve">., fn. 1. </w:t>
      </w:r>
      <w:r w:rsidRPr="006F4A2B">
        <w:rPr>
          <w:rFonts w:asciiTheme="majorHAnsi" w:hAnsiTheme="majorHAnsi" w:cstheme="majorHAnsi"/>
        </w:rPr>
        <w:t>https://www.epi.org/publication/wage-theft-2021/</w:t>
      </w:r>
    </w:p>
  </w:footnote>
  <w:footnote w:id="12">
    <w:p w14:paraId="47C8EC7D" w14:textId="77777777" w:rsidR="00702C12" w:rsidRDefault="00702C12" w:rsidP="002C2613">
      <w:pPr>
        <w:pStyle w:val="FootnoteText"/>
      </w:pPr>
      <w:r w:rsidRPr="00C021CF">
        <w:rPr>
          <w:rStyle w:val="FootnoteReference"/>
          <w:rFonts w:asciiTheme="majorHAnsi" w:hAnsiTheme="majorHAnsi" w:cstheme="majorHAnsi"/>
        </w:rPr>
        <w:footnoteRef/>
      </w:r>
      <w:r>
        <w:rPr>
          <w:rFonts w:asciiTheme="majorHAnsi" w:hAnsiTheme="majorHAnsi" w:cstheme="majorHAnsi"/>
        </w:rPr>
        <w:t xml:space="preserve"> </w:t>
      </w:r>
      <w:r w:rsidRPr="00C021CF">
        <w:rPr>
          <w:rFonts w:asciiTheme="majorHAnsi" w:hAnsiTheme="majorHAnsi" w:cstheme="majorHAnsi"/>
        </w:rPr>
        <w:t>Gerstein,</w:t>
      </w:r>
      <w:r>
        <w:rPr>
          <w:rFonts w:asciiTheme="majorHAnsi" w:hAnsiTheme="majorHAnsi" w:cstheme="majorHAnsi"/>
        </w:rPr>
        <w:t xml:space="preserve"> T. (Fall 2020).</w:t>
      </w:r>
      <w:r w:rsidRPr="00C021CF">
        <w:rPr>
          <w:rFonts w:asciiTheme="majorHAnsi" w:hAnsiTheme="majorHAnsi" w:cstheme="majorHAnsi"/>
        </w:rPr>
        <w:t xml:space="preserve"> </w:t>
      </w:r>
      <w:r w:rsidRPr="00182638">
        <w:rPr>
          <w:rFonts w:asciiTheme="majorHAnsi" w:hAnsiTheme="majorHAnsi" w:cstheme="majorHAnsi"/>
        </w:rPr>
        <w:t>State and Local Workers’ Rights Innovations: New Players, New Laws, New Methods of Enforcement,</w:t>
      </w:r>
      <w:r w:rsidRPr="00C021CF">
        <w:rPr>
          <w:rFonts w:asciiTheme="majorHAnsi" w:hAnsiTheme="majorHAnsi" w:cstheme="majorHAnsi"/>
        </w:rPr>
        <w:t xml:space="preserve"> 65 St. Louis U.L.J.</w:t>
      </w:r>
      <w:r>
        <w:rPr>
          <w:rFonts w:asciiTheme="majorHAnsi" w:hAnsiTheme="majorHAnsi" w:cstheme="majorHAnsi"/>
        </w:rPr>
        <w:t>,</w:t>
      </w:r>
      <w:r w:rsidRPr="00C021CF">
        <w:rPr>
          <w:rFonts w:asciiTheme="majorHAnsi" w:hAnsiTheme="majorHAnsi" w:cstheme="majorHAnsi"/>
        </w:rPr>
        <w:t xml:space="preserve"> 51-</w:t>
      </w:r>
      <w:r>
        <w:rPr>
          <w:rFonts w:asciiTheme="majorHAnsi" w:hAnsiTheme="majorHAnsi" w:cstheme="majorHAnsi"/>
        </w:rPr>
        <w:t xml:space="preserve">53. </w:t>
      </w:r>
      <w:r w:rsidRPr="00182638">
        <w:rPr>
          <w:rFonts w:asciiTheme="majorHAnsi" w:hAnsiTheme="majorHAnsi" w:cstheme="majorHAnsi"/>
        </w:rPr>
        <w:t>https://scholarship.law.slu.edu/cgi/viewcontent.cgi?article=2198&amp;amp;context=lj</w:t>
      </w:r>
    </w:p>
  </w:footnote>
  <w:footnote w:id="13">
    <w:p w14:paraId="02255B85" w14:textId="4207DF96" w:rsidR="00702C12" w:rsidRPr="00FF4C8B" w:rsidRDefault="00702C12">
      <w:pPr>
        <w:pStyle w:val="FootnoteText"/>
        <w:rPr>
          <w:rFonts w:asciiTheme="majorHAnsi" w:hAnsiTheme="majorHAnsi" w:cstheme="majorHAnsi"/>
        </w:rPr>
      </w:pPr>
      <w:r w:rsidRPr="00FF4C8B">
        <w:rPr>
          <w:rStyle w:val="FootnoteReference"/>
          <w:rFonts w:asciiTheme="majorHAnsi" w:hAnsiTheme="majorHAnsi" w:cstheme="majorHAnsi"/>
        </w:rPr>
        <w:footnoteRef/>
      </w:r>
      <w:r w:rsidRPr="00FF4C8B">
        <w:rPr>
          <w:rFonts w:asciiTheme="majorHAnsi" w:hAnsiTheme="majorHAnsi" w:cstheme="majorHAnsi"/>
        </w:rPr>
        <w:t xml:space="preserve"> </w:t>
      </w:r>
      <w:r w:rsidRPr="005B5E0F">
        <w:rPr>
          <w:rFonts w:asciiTheme="majorHAnsi" w:hAnsiTheme="majorHAnsi" w:cstheme="majorHAnsi"/>
          <w:lang w:val="en"/>
        </w:rPr>
        <w:t>D</w:t>
      </w:r>
      <w:r w:rsidR="00860F40">
        <w:rPr>
          <w:rFonts w:asciiTheme="majorHAnsi" w:hAnsiTheme="majorHAnsi" w:cstheme="majorHAnsi"/>
          <w:lang w:val="en"/>
        </w:rPr>
        <w:t>ivisions</w:t>
      </w:r>
      <w:r w:rsidRPr="005B5E0F">
        <w:rPr>
          <w:rFonts w:asciiTheme="majorHAnsi" w:hAnsiTheme="majorHAnsi" w:cstheme="majorHAnsi"/>
          <w:lang w:val="en"/>
        </w:rPr>
        <w:t>.</w:t>
      </w:r>
      <w:r w:rsidRPr="00FF4C8B">
        <w:rPr>
          <w:rFonts w:asciiTheme="majorHAnsi" w:hAnsiTheme="majorHAnsi" w:cstheme="majorHAnsi"/>
          <w:lang w:val="en"/>
        </w:rPr>
        <w:t xml:space="preserve"> (n.d.). State of Hawaii Department of the Attorney General</w:t>
      </w:r>
      <w:r w:rsidR="002F5880">
        <w:rPr>
          <w:rFonts w:asciiTheme="majorHAnsi" w:hAnsiTheme="majorHAnsi" w:cstheme="majorHAnsi"/>
          <w:lang w:val="en"/>
        </w:rPr>
        <w:t xml:space="preserve">. </w:t>
      </w:r>
      <w:r w:rsidRPr="00FF4C8B">
        <w:rPr>
          <w:rFonts w:asciiTheme="majorHAnsi" w:hAnsiTheme="majorHAnsi" w:cstheme="majorHAnsi"/>
          <w:lang w:val="en"/>
        </w:rPr>
        <w:t>https://ag.hawaii.gov/about-us/divisions/#labor</w:t>
      </w:r>
      <w:r>
        <w:rPr>
          <w:rFonts w:asciiTheme="majorHAnsi" w:hAnsiTheme="majorHAnsi" w:cstheme="majorHAnsi"/>
          <w:lang w:val="en"/>
        </w:rPr>
        <w:t>.</w:t>
      </w:r>
    </w:p>
  </w:footnote>
  <w:footnote w:id="14">
    <w:p w14:paraId="6E34A434" w14:textId="57F780BC" w:rsidR="00702C12" w:rsidRDefault="00702C12">
      <w:pPr>
        <w:pStyle w:val="FootnoteText"/>
      </w:pPr>
      <w:r>
        <w:rPr>
          <w:rStyle w:val="FootnoteReference"/>
        </w:rPr>
        <w:footnoteRef/>
      </w:r>
      <w:r>
        <w:t xml:space="preserve"> </w:t>
      </w:r>
      <w:r w:rsidRPr="005B5E0F">
        <w:rPr>
          <w:rFonts w:asciiTheme="majorHAnsi" w:hAnsiTheme="majorHAnsi" w:cstheme="majorHAnsi"/>
        </w:rPr>
        <w:t>Employment Litigation Bureau.</w:t>
      </w:r>
      <w:r w:rsidRPr="00FF4C8B">
        <w:rPr>
          <w:rFonts w:asciiTheme="majorHAnsi" w:hAnsiTheme="majorHAnsi" w:cstheme="majorHAnsi"/>
        </w:rPr>
        <w:t xml:space="preserve"> (n.d.). Office of Attorney General Ashley Moody.</w:t>
      </w:r>
      <w:r w:rsidR="006B4454">
        <w:rPr>
          <w:rFonts w:asciiTheme="majorHAnsi" w:hAnsiTheme="majorHAnsi" w:cstheme="majorHAnsi"/>
        </w:rPr>
        <w:t xml:space="preserve"> </w:t>
      </w:r>
      <w:r w:rsidRPr="00FF4C8B">
        <w:rPr>
          <w:rFonts w:asciiTheme="majorHAnsi" w:hAnsiTheme="majorHAnsi" w:cstheme="majorHAnsi"/>
        </w:rPr>
        <w:t>http://myfloridalegal.com/pages.nsf/main/ebe7335db63c9f368525733800460937</w:t>
      </w:r>
      <w:r>
        <w:rPr>
          <w:rFonts w:asciiTheme="majorHAnsi" w:hAnsiTheme="majorHAnsi" w:cstheme="majorHAnsi"/>
        </w:rPr>
        <w:t>.</w:t>
      </w:r>
    </w:p>
  </w:footnote>
  <w:footnote w:id="15">
    <w:p w14:paraId="748C4325" w14:textId="5A3E5511" w:rsidR="00702C12" w:rsidRDefault="00702C12">
      <w:pPr>
        <w:pStyle w:val="FootnoteText"/>
      </w:pPr>
      <w:r>
        <w:rPr>
          <w:rStyle w:val="FootnoteReference"/>
        </w:rPr>
        <w:footnoteRef/>
      </w:r>
      <w:r>
        <w:t xml:space="preserve"> </w:t>
      </w:r>
      <w:r w:rsidRPr="005B5E0F">
        <w:rPr>
          <w:rFonts w:asciiTheme="majorHAnsi" w:hAnsiTheme="majorHAnsi" w:cstheme="majorHAnsi"/>
        </w:rPr>
        <w:t>Organization of the Office. (</w:t>
      </w:r>
      <w:r w:rsidRPr="00FF4C8B">
        <w:rPr>
          <w:rFonts w:asciiTheme="majorHAnsi" w:hAnsiTheme="majorHAnsi" w:cstheme="majorHAnsi"/>
        </w:rPr>
        <w:t>n.d.). Office of the Attorney General. https://law.georgia.gov/about-us/organization-office.</w:t>
      </w:r>
    </w:p>
  </w:footnote>
  <w:footnote w:id="16">
    <w:p w14:paraId="43F8D4B5" w14:textId="519B8820" w:rsidR="00702C12" w:rsidRDefault="00702C12">
      <w:pPr>
        <w:pStyle w:val="FootnoteText"/>
      </w:pPr>
      <w:r>
        <w:rPr>
          <w:rStyle w:val="FootnoteReference"/>
        </w:rPr>
        <w:footnoteRef/>
      </w:r>
      <w:r>
        <w:t xml:space="preserve"> </w:t>
      </w:r>
      <w:r w:rsidRPr="005B5E0F">
        <w:rPr>
          <w:rFonts w:asciiTheme="majorHAnsi" w:hAnsiTheme="majorHAnsi" w:cstheme="majorHAnsi"/>
        </w:rPr>
        <w:t>Labor.</w:t>
      </w:r>
      <w:r w:rsidRPr="00FF4C8B">
        <w:rPr>
          <w:rFonts w:asciiTheme="majorHAnsi" w:hAnsiTheme="majorHAnsi" w:cstheme="majorHAnsi"/>
        </w:rPr>
        <w:t xml:space="preserve"> (n.d.). Andrew Bailey Missouri Attorney General. https://ago.mo.gov/civil-division/labor.</w:t>
      </w:r>
    </w:p>
  </w:footnote>
  <w:footnote w:id="17">
    <w:p w14:paraId="3C04FDBE" w14:textId="61908CA8" w:rsidR="00702C12" w:rsidRDefault="00702C12">
      <w:pPr>
        <w:pStyle w:val="FootnoteText"/>
      </w:pPr>
      <w:r>
        <w:rPr>
          <w:rStyle w:val="FootnoteReference"/>
        </w:rPr>
        <w:footnoteRef/>
      </w:r>
      <w:r>
        <w:t xml:space="preserve"> </w:t>
      </w:r>
      <w:r w:rsidRPr="007A53E2">
        <w:rPr>
          <w:rFonts w:asciiTheme="majorHAnsi" w:hAnsiTheme="majorHAnsi" w:cstheme="majorHAnsi"/>
        </w:rPr>
        <w:t xml:space="preserve">Labor </w:t>
      </w:r>
      <w:r>
        <w:rPr>
          <w:rFonts w:asciiTheme="majorHAnsi" w:hAnsiTheme="majorHAnsi" w:cstheme="majorHAnsi"/>
        </w:rPr>
        <w:t xml:space="preserve">Relations. </w:t>
      </w:r>
      <w:r w:rsidR="009E1F98">
        <w:rPr>
          <w:rFonts w:asciiTheme="majorHAnsi" w:hAnsiTheme="majorHAnsi" w:cstheme="majorHAnsi"/>
        </w:rPr>
        <w:t xml:space="preserve">(n.d.). </w:t>
      </w:r>
      <w:r>
        <w:rPr>
          <w:rFonts w:asciiTheme="majorHAnsi" w:hAnsiTheme="majorHAnsi" w:cstheme="majorHAnsi"/>
        </w:rPr>
        <w:t xml:space="preserve">Ohio Attorney General. </w:t>
      </w:r>
      <w:r w:rsidRPr="00827DCD">
        <w:rPr>
          <w:rFonts w:asciiTheme="majorHAnsi" w:hAnsiTheme="majorHAnsi" w:cstheme="majorHAnsi"/>
        </w:rPr>
        <w:t>https://www.ohioattorneygeneral.gov/About-AG/Service-Divisions/labor-relations</w:t>
      </w:r>
    </w:p>
  </w:footnote>
  <w:footnote w:id="18">
    <w:p w14:paraId="268741A2" w14:textId="77777777" w:rsidR="00702C12" w:rsidRDefault="00702C12">
      <w:pPr>
        <w:pStyle w:val="FootnoteText"/>
      </w:pPr>
      <w:r>
        <w:rPr>
          <w:rStyle w:val="FootnoteReference"/>
        </w:rPr>
        <w:t>18</w:t>
      </w:r>
      <w:r>
        <w:t xml:space="preserve"> </w:t>
      </w:r>
      <w:r w:rsidRPr="00182638">
        <w:rPr>
          <w:rFonts w:asciiTheme="majorHAnsi" w:hAnsiTheme="majorHAnsi" w:cstheme="majorHAnsi"/>
        </w:rPr>
        <w:t>Zipperer B. et al. (2022, June 1). National Survey of Gig Workers Paints A Picture of Poor Working Conditions, Low Pay, Economic Policy Institute</w:t>
      </w:r>
      <w:r>
        <w:rPr>
          <w:rFonts w:asciiTheme="majorHAnsi" w:hAnsiTheme="majorHAnsi" w:cstheme="majorHAnsi"/>
        </w:rPr>
        <w:t xml:space="preserve">., 52-53. </w:t>
      </w:r>
      <w:r w:rsidRPr="00182638">
        <w:rPr>
          <w:rFonts w:asciiTheme="majorHAnsi" w:hAnsiTheme="majorHAnsi" w:cstheme="majorHAnsi"/>
        </w:rPr>
        <w:t>https://www.epi.org/publication/gig-worker-survey/.</w:t>
      </w:r>
      <w:r w:rsidRPr="00C021CF">
        <w:rPr>
          <w:rFonts w:asciiTheme="majorHAnsi" w:hAnsiTheme="majorHAnsi" w:cstheme="majorHAnsi"/>
        </w:rPr>
        <w:t xml:space="preserve"> </w:t>
      </w:r>
      <w:r>
        <w:t xml:space="preserve">  </w:t>
      </w:r>
      <w:r w:rsidRPr="00182638">
        <w:rPr>
          <w:rFonts w:asciiTheme="majorHAnsi" w:hAnsiTheme="majorHAnsi" w:cstheme="majorHAnsi"/>
        </w:rPr>
        <w:t xml:space="preserve"> </w:t>
      </w:r>
    </w:p>
  </w:footnote>
  <w:footnote w:id="19">
    <w:p w14:paraId="2DEDB500" w14:textId="77777777" w:rsidR="00702C12" w:rsidRDefault="00702C12">
      <w:pPr>
        <w:pStyle w:val="FootnoteText"/>
      </w:pPr>
      <w:r>
        <w:rPr>
          <w:rStyle w:val="FootnoteReference"/>
        </w:rPr>
        <w:t>19</w:t>
      </w:r>
      <w:r>
        <w:t xml:space="preserve"> </w:t>
      </w:r>
      <w:r w:rsidRPr="00182638">
        <w:rPr>
          <w:rFonts w:asciiTheme="majorHAnsi" w:hAnsiTheme="majorHAnsi" w:cstheme="majorHAnsi"/>
        </w:rPr>
        <w:t xml:space="preserve">Gerstein, T. </w:t>
      </w:r>
      <w:r w:rsidRPr="00476CB6">
        <w:rPr>
          <w:rFonts w:asciiTheme="majorHAnsi" w:hAnsiTheme="majorHAnsi" w:cstheme="majorHAnsi"/>
        </w:rPr>
        <w:t>et al</w:t>
      </w:r>
      <w:r>
        <w:rPr>
          <w:rFonts w:asciiTheme="majorHAnsi" w:hAnsiTheme="majorHAnsi" w:cstheme="majorHAnsi"/>
        </w:rPr>
        <w:t>.</w:t>
      </w:r>
      <w:r w:rsidRPr="00182638">
        <w:rPr>
          <w:rFonts w:asciiTheme="majorHAnsi" w:hAnsiTheme="majorHAnsi" w:cstheme="majorHAnsi"/>
          <w:i/>
          <w:iCs/>
        </w:rPr>
        <w:t xml:space="preserve"> </w:t>
      </w:r>
      <w:r w:rsidRPr="00182638">
        <w:rPr>
          <w:rFonts w:asciiTheme="majorHAnsi" w:hAnsiTheme="majorHAnsi" w:cstheme="majorHAnsi"/>
        </w:rPr>
        <w:t>(2018, May 7).</w:t>
      </w:r>
      <w:r w:rsidRPr="00476CB6">
        <w:rPr>
          <w:rFonts w:asciiTheme="majorHAnsi" w:hAnsiTheme="majorHAnsi" w:cstheme="majorHAnsi"/>
          <w:i/>
          <w:iCs/>
        </w:rPr>
        <w:t xml:space="preserve"> </w:t>
      </w:r>
      <w:r w:rsidRPr="00182638">
        <w:rPr>
          <w:rFonts w:asciiTheme="majorHAnsi" w:hAnsiTheme="majorHAnsi" w:cstheme="majorHAnsi"/>
        </w:rPr>
        <w:t>State attorneys general can play key roles in protecting workers' rights. Economic Policy Institute</w:t>
      </w:r>
      <w:r>
        <w:rPr>
          <w:rFonts w:asciiTheme="majorHAnsi" w:hAnsiTheme="majorHAnsi" w:cstheme="majorHAnsi"/>
        </w:rPr>
        <w:t xml:space="preserve">. </w:t>
      </w:r>
      <w:r w:rsidRPr="00182638">
        <w:rPr>
          <w:rFonts w:asciiTheme="majorHAnsi" w:hAnsiTheme="majorHAnsi" w:cstheme="majorHAnsi"/>
        </w:rPr>
        <w:t>https://www.epi.org/publication/state-attorneys-general-can-play-key-roles-in-protecting-workers-rights/</w:t>
      </w:r>
    </w:p>
  </w:footnote>
  <w:footnote w:id="20">
    <w:p w14:paraId="13458FFA" w14:textId="77777777" w:rsidR="00702C12" w:rsidRDefault="00702C12">
      <w:pPr>
        <w:pStyle w:val="FootnoteText"/>
      </w:pPr>
      <w:r>
        <w:rPr>
          <w:rStyle w:val="FootnoteReference"/>
        </w:rPr>
        <w:t>20</w:t>
      </w:r>
      <w:r>
        <w:t xml:space="preserve"> </w:t>
      </w:r>
      <w:r w:rsidRPr="00182638">
        <w:rPr>
          <w:rFonts w:asciiTheme="majorHAnsi" w:hAnsiTheme="majorHAnsi" w:cstheme="majorHAnsi"/>
        </w:rPr>
        <w:t>15 ILCS 205/6.3. (2019). Illinois General Assembly - Illinois compiled statutes.</w:t>
      </w:r>
      <w:r>
        <w:rPr>
          <w:rFonts w:asciiTheme="majorHAnsi" w:hAnsiTheme="majorHAnsi" w:cstheme="majorHAnsi"/>
        </w:rPr>
        <w:t xml:space="preserve"> </w:t>
      </w:r>
      <w:r w:rsidRPr="00182638">
        <w:rPr>
          <w:rFonts w:asciiTheme="majorHAnsi" w:hAnsiTheme="majorHAnsi" w:cstheme="majorHAnsi"/>
        </w:rPr>
        <w:t>https://www.ilga.gov/legislation/ilcs/fulltext.asp?DocName=001502050K6.3</w:t>
      </w:r>
    </w:p>
  </w:footnote>
  <w:footnote w:id="21">
    <w:p w14:paraId="6EB12E87" w14:textId="77777777" w:rsidR="00702C12" w:rsidRDefault="00702C12">
      <w:pPr>
        <w:pStyle w:val="FootnoteText"/>
      </w:pPr>
      <w:r>
        <w:rPr>
          <w:rStyle w:val="FootnoteReference"/>
        </w:rPr>
        <w:t>21</w:t>
      </w:r>
      <w:r>
        <w:t xml:space="preserve"> </w:t>
      </w:r>
      <w:r w:rsidRPr="00182638">
        <w:rPr>
          <w:rFonts w:asciiTheme="majorHAnsi" w:hAnsiTheme="majorHAnsi" w:cstheme="majorHAnsi"/>
        </w:rPr>
        <w:t>Sec. 177.45 MN Statutes. (n.d.). (2019).</w:t>
      </w:r>
      <w:r>
        <w:rPr>
          <w:rFonts w:asciiTheme="majorHAnsi" w:hAnsiTheme="majorHAnsi" w:cstheme="majorHAnsi"/>
        </w:rPr>
        <w:t xml:space="preserve"> </w:t>
      </w:r>
      <w:r w:rsidRPr="00182638">
        <w:rPr>
          <w:rFonts w:asciiTheme="majorHAnsi" w:hAnsiTheme="majorHAnsi" w:cstheme="majorHAnsi"/>
        </w:rPr>
        <w:t>https://www.revisor.mn.gov/statutes/2019/cite/177.45</w:t>
      </w:r>
    </w:p>
  </w:footnote>
  <w:footnote w:id="22">
    <w:p w14:paraId="1E52E08A" w14:textId="77777777" w:rsidR="00702C12" w:rsidRDefault="00702C12">
      <w:pPr>
        <w:pStyle w:val="FootnoteText"/>
      </w:pPr>
      <w:r>
        <w:rPr>
          <w:rStyle w:val="FootnoteReference"/>
        </w:rPr>
        <w:t>22</w:t>
      </w:r>
      <w:r>
        <w:t xml:space="preserve"> </w:t>
      </w:r>
      <w:r w:rsidRPr="00C021CF">
        <w:rPr>
          <w:rFonts w:asciiTheme="majorHAnsi" w:hAnsiTheme="majorHAnsi" w:cstheme="majorHAnsi"/>
        </w:rPr>
        <w:t>Gerstein,</w:t>
      </w:r>
      <w:r>
        <w:rPr>
          <w:rFonts w:asciiTheme="majorHAnsi" w:hAnsiTheme="majorHAnsi" w:cstheme="majorHAnsi"/>
        </w:rPr>
        <w:t xml:space="preserve"> T. (Fall 2020).</w:t>
      </w:r>
      <w:r w:rsidRPr="00C021CF">
        <w:rPr>
          <w:rFonts w:asciiTheme="majorHAnsi" w:hAnsiTheme="majorHAnsi" w:cstheme="majorHAnsi"/>
        </w:rPr>
        <w:t xml:space="preserve"> </w:t>
      </w:r>
      <w:r w:rsidRPr="00182638">
        <w:rPr>
          <w:rFonts w:asciiTheme="majorHAnsi" w:hAnsiTheme="majorHAnsi" w:cstheme="majorHAnsi"/>
        </w:rPr>
        <w:t>State and Local Workers’ Rights Innovations: New Players, New Laws, New Methods of Enforcement,</w:t>
      </w:r>
      <w:r w:rsidRPr="00C021CF">
        <w:rPr>
          <w:rFonts w:asciiTheme="majorHAnsi" w:hAnsiTheme="majorHAnsi" w:cstheme="majorHAnsi"/>
        </w:rPr>
        <w:t xml:space="preserve"> 65 St. Louis U.L.J.</w:t>
      </w:r>
      <w:r>
        <w:rPr>
          <w:rFonts w:asciiTheme="majorHAnsi" w:hAnsiTheme="majorHAnsi" w:cstheme="majorHAnsi"/>
        </w:rPr>
        <w:t>,</w:t>
      </w:r>
      <w:r w:rsidRPr="00C021CF">
        <w:rPr>
          <w:rFonts w:asciiTheme="majorHAnsi" w:hAnsiTheme="majorHAnsi" w:cstheme="majorHAnsi"/>
        </w:rPr>
        <w:t xml:space="preserve"> 45, 51-</w:t>
      </w:r>
      <w:r>
        <w:rPr>
          <w:rFonts w:asciiTheme="majorHAnsi" w:hAnsiTheme="majorHAnsi" w:cstheme="majorHAnsi"/>
        </w:rPr>
        <w:t xml:space="preserve">52. </w:t>
      </w:r>
      <w:r w:rsidRPr="00182638">
        <w:rPr>
          <w:rFonts w:asciiTheme="majorHAnsi" w:hAnsiTheme="majorHAnsi" w:cstheme="majorHAnsi"/>
        </w:rPr>
        <w:t>https://scholarship.law.slu.edu/cgi/viewcontent.cgi?article=2198&amp;amp;context=lj</w:t>
      </w:r>
    </w:p>
  </w:footnote>
  <w:footnote w:id="23">
    <w:p w14:paraId="6C7CCC65" w14:textId="77777777" w:rsidR="00702C12" w:rsidRDefault="00702C12">
      <w:pPr>
        <w:pStyle w:val="FootnoteText"/>
      </w:pPr>
      <w:r>
        <w:rPr>
          <w:rStyle w:val="FootnoteReference"/>
        </w:rPr>
        <w:t>23</w:t>
      </w:r>
      <w:r>
        <w:t xml:space="preserve"> </w:t>
      </w:r>
      <w:r w:rsidRPr="000F3217">
        <w:rPr>
          <w:rFonts w:asciiTheme="majorHAnsi" w:hAnsiTheme="majorHAnsi" w:cstheme="majorHAnsi"/>
        </w:rPr>
        <w:t>AG Racine Reaches $2.5 Million Agreement with DoorDash for Misrepresenting that Consumer Tips Would Go to Food Delivery Drivers. (2020, November 24). https://oag.dc.gov/release/ag-racine-reaches-25-million-agreement-doordash</w:t>
      </w:r>
    </w:p>
  </w:footnote>
  <w:footnote w:id="24">
    <w:p w14:paraId="0ABA3CB9" w14:textId="77777777" w:rsidR="00702C12" w:rsidRDefault="00702C12">
      <w:pPr>
        <w:pStyle w:val="FootnoteText"/>
      </w:pPr>
      <w:r>
        <w:rPr>
          <w:rStyle w:val="FootnoteReference"/>
        </w:rPr>
        <w:t>24</w:t>
      </w:r>
      <w:r>
        <w:t xml:space="preserve"> </w:t>
      </w:r>
      <w:r w:rsidRPr="00476CB6">
        <w:rPr>
          <w:rFonts w:asciiTheme="majorHAnsi" w:hAnsiTheme="majorHAnsi" w:cstheme="majorHAnsi"/>
        </w:rPr>
        <w:t>Three contractors charged with stealing over $64,000 in wages from 14 workers stemming from school construction work. Three contractors charged with stealing over $64,000 in wages from 14 workers stemming from school construction work. (2022, September 27). https://riag.ri.gov/press-releases/three-contractors-charged-stealing-over-64000-wages-14-workers-stemming-school</w:t>
      </w:r>
    </w:p>
  </w:footnote>
  <w:footnote w:id="25">
    <w:p w14:paraId="25B84CC4" w14:textId="77777777" w:rsidR="00702C12" w:rsidRDefault="00702C12">
      <w:pPr>
        <w:pStyle w:val="FootnoteText"/>
      </w:pPr>
      <w:r>
        <w:rPr>
          <w:rStyle w:val="FootnoteReference"/>
        </w:rPr>
        <w:t>25</w:t>
      </w:r>
      <w:r>
        <w:t xml:space="preserve"> </w:t>
      </w:r>
      <w:r w:rsidRPr="009A4DAC">
        <w:rPr>
          <w:rFonts w:asciiTheme="majorHAnsi" w:hAnsiTheme="majorHAnsi" w:cstheme="majorHAnsi"/>
        </w:rPr>
        <w:t>IL Attorney General announces settlements with construction subcontractors at Rivian over unpaid overtime wages. (2021, December 21). 25News Now. https://www.25newsnow.com/2021/12/21/il-attorney-general-announces-settlements-with-construction-subcontractors-rivian-over-unpaid-overtime-wages/</w:t>
      </w:r>
    </w:p>
  </w:footnote>
  <w:footnote w:id="26">
    <w:p w14:paraId="2A65C097" w14:textId="77777777" w:rsidR="00702C12" w:rsidRDefault="00702C12">
      <w:pPr>
        <w:pStyle w:val="FootnoteText"/>
      </w:pPr>
      <w:r>
        <w:rPr>
          <w:rStyle w:val="FootnoteReference"/>
        </w:rPr>
        <w:t>26</w:t>
      </w:r>
      <w:r>
        <w:t xml:space="preserve"> </w:t>
      </w:r>
      <w:r w:rsidRPr="00ED73AF">
        <w:rPr>
          <w:rStyle w:val="Hyperlink"/>
          <w:rFonts w:asciiTheme="majorHAnsi" w:hAnsiTheme="majorHAnsi" w:cstheme="majorHAnsi"/>
          <w:color w:val="000000" w:themeColor="text1"/>
          <w:u w:val="none"/>
        </w:rPr>
        <w:t xml:space="preserve">Attorney </w:t>
      </w:r>
      <w:r>
        <w:rPr>
          <w:rStyle w:val="Hyperlink"/>
          <w:rFonts w:asciiTheme="majorHAnsi" w:hAnsiTheme="majorHAnsi" w:cstheme="majorHAnsi"/>
          <w:color w:val="000000" w:themeColor="text1"/>
          <w:u w:val="none"/>
        </w:rPr>
        <w:t>G</w:t>
      </w:r>
      <w:r w:rsidRPr="00ED73AF">
        <w:rPr>
          <w:rStyle w:val="Hyperlink"/>
          <w:rFonts w:asciiTheme="majorHAnsi" w:hAnsiTheme="majorHAnsi" w:cstheme="majorHAnsi"/>
          <w:color w:val="000000" w:themeColor="text1"/>
          <w:u w:val="none"/>
        </w:rPr>
        <w:t>eneral Bonta secures guilty verdict against members of the Gamos family for human trafficking and labor scheme.</w:t>
      </w:r>
      <w:r>
        <w:rPr>
          <w:rStyle w:val="Hyperlink"/>
          <w:rFonts w:asciiTheme="majorHAnsi" w:hAnsiTheme="majorHAnsi" w:cstheme="majorHAnsi"/>
          <w:color w:val="000000" w:themeColor="text1"/>
          <w:u w:val="none"/>
        </w:rPr>
        <w:t xml:space="preserve"> </w:t>
      </w:r>
      <w:r w:rsidRPr="00ED73AF">
        <w:rPr>
          <w:rStyle w:val="Hyperlink"/>
          <w:rFonts w:asciiTheme="majorHAnsi" w:hAnsiTheme="majorHAnsi" w:cstheme="majorHAnsi"/>
          <w:color w:val="000000" w:themeColor="text1"/>
          <w:u w:val="none"/>
        </w:rPr>
        <w:t>(2022, June 8).</w:t>
      </w:r>
      <w:r>
        <w:rPr>
          <w:rStyle w:val="Hyperlink"/>
          <w:rFonts w:asciiTheme="majorHAnsi" w:hAnsiTheme="majorHAnsi" w:cstheme="majorHAnsi"/>
          <w:color w:val="000000" w:themeColor="text1"/>
          <w:u w:val="none"/>
        </w:rPr>
        <w:t xml:space="preserve"> [Press Release]. </w:t>
      </w:r>
      <w:r w:rsidRPr="005F01D2">
        <w:rPr>
          <w:rStyle w:val="Hyperlink"/>
          <w:rFonts w:asciiTheme="majorHAnsi" w:hAnsiTheme="majorHAnsi" w:cstheme="majorHAnsi"/>
          <w:color w:val="000000" w:themeColor="text1"/>
          <w:u w:val="none"/>
        </w:rPr>
        <w:t>https://oag.ca.gov/news/press-releases/attorney-general-bonta-secures-guilty-verdict-against-members-gamos-family-human</w:t>
      </w:r>
    </w:p>
  </w:footnote>
  <w:footnote w:id="27">
    <w:p w14:paraId="1C9A1BFA" w14:textId="77777777" w:rsidR="00702C12" w:rsidRDefault="00702C12">
      <w:pPr>
        <w:pStyle w:val="FootnoteText"/>
      </w:pPr>
      <w:r>
        <w:rPr>
          <w:rStyle w:val="FootnoteReference"/>
        </w:rPr>
        <w:t>27</w:t>
      </w:r>
      <w:r>
        <w:t xml:space="preserve"> </w:t>
      </w:r>
      <w:r w:rsidRPr="0084677F">
        <w:rPr>
          <w:rFonts w:asciiTheme="majorHAnsi" w:hAnsiTheme="majorHAnsi" w:cstheme="majorHAnsi"/>
        </w:rPr>
        <w:t xml:space="preserve">Attorney </w:t>
      </w:r>
      <w:r>
        <w:rPr>
          <w:rFonts w:asciiTheme="majorHAnsi" w:hAnsiTheme="majorHAnsi" w:cstheme="majorHAnsi"/>
        </w:rPr>
        <w:t>G</w:t>
      </w:r>
      <w:r w:rsidRPr="0084677F">
        <w:rPr>
          <w:rFonts w:asciiTheme="majorHAnsi" w:hAnsiTheme="majorHAnsi" w:cstheme="majorHAnsi"/>
        </w:rPr>
        <w:t xml:space="preserve">eneral Bonta files briefs in support of wage protections for federal contractors. (2022, May 18). </w:t>
      </w:r>
      <w:r>
        <w:rPr>
          <w:rFonts w:asciiTheme="majorHAnsi" w:hAnsiTheme="majorHAnsi" w:cstheme="majorHAnsi"/>
        </w:rPr>
        <w:t>[Press Release].</w:t>
      </w:r>
      <w:r w:rsidRPr="0084677F">
        <w:rPr>
          <w:rFonts w:asciiTheme="majorHAnsi" w:hAnsiTheme="majorHAnsi" w:cstheme="majorHAnsi"/>
        </w:rPr>
        <w:t xml:space="preserve"> https://oag.ca.gov/news/press-releases/attorney-general-bonta-files-briefs-support-wage-protections-federal-contractors</w:t>
      </w:r>
    </w:p>
  </w:footnote>
  <w:footnote w:id="28">
    <w:p w14:paraId="5F30055C" w14:textId="77777777" w:rsidR="00702C12" w:rsidRDefault="00702C12">
      <w:pPr>
        <w:pStyle w:val="FootnoteText"/>
      </w:pPr>
      <w:r>
        <w:rPr>
          <w:rStyle w:val="FootnoteReference"/>
        </w:rPr>
        <w:t>28</w:t>
      </w:r>
      <w:r>
        <w:t xml:space="preserve"> </w:t>
      </w:r>
      <w:r w:rsidRPr="00AB465F">
        <w:rPr>
          <w:rFonts w:asciiTheme="majorHAnsi" w:hAnsiTheme="majorHAnsi" w:cstheme="majorHAnsi"/>
        </w:rPr>
        <w:t>Attorney General Bonta co-leads multistate coalition in support of federal effort to prioritize workplace rights and safety in immigration enforcement. (2021, November 15). [Press Release]. https://oag.ca.gov/news/press-releases/attorney-general-bonta-co-leads-multistate-coalition-support-federal-effort</w:t>
      </w:r>
    </w:p>
  </w:footnote>
  <w:footnote w:id="29">
    <w:p w14:paraId="504A7576" w14:textId="77777777" w:rsidR="00702C12" w:rsidRDefault="00702C12">
      <w:pPr>
        <w:pStyle w:val="FootnoteText"/>
      </w:pPr>
      <w:r>
        <w:rPr>
          <w:rStyle w:val="FootnoteReference"/>
        </w:rPr>
        <w:t>29</w:t>
      </w:r>
      <w:r>
        <w:t xml:space="preserve"> </w:t>
      </w:r>
      <w:r w:rsidRPr="00C021CF">
        <w:rPr>
          <w:rFonts w:asciiTheme="majorHAnsi" w:hAnsiTheme="majorHAnsi" w:cstheme="majorHAnsi"/>
          <w:i/>
          <w:iCs/>
        </w:rPr>
        <w:t>P</w:t>
      </w:r>
      <w:r>
        <w:rPr>
          <w:rFonts w:asciiTheme="majorHAnsi" w:hAnsiTheme="majorHAnsi" w:cstheme="majorHAnsi"/>
          <w:i/>
          <w:iCs/>
        </w:rPr>
        <w:t>ennsylvania et al.</w:t>
      </w:r>
      <w:r w:rsidRPr="00C021CF">
        <w:rPr>
          <w:rFonts w:asciiTheme="majorHAnsi" w:hAnsiTheme="majorHAnsi" w:cstheme="majorHAnsi"/>
          <w:i/>
          <w:iCs/>
        </w:rPr>
        <w:t xml:space="preserve"> v. Walsh</w:t>
      </w:r>
      <w:r w:rsidRPr="00C021CF">
        <w:rPr>
          <w:rFonts w:asciiTheme="majorHAnsi" w:hAnsiTheme="majorHAnsi" w:cstheme="majorHAnsi"/>
        </w:rPr>
        <w:t>, Case No. 2:21-cv-00258 ER (E.D.Pa.)</w:t>
      </w:r>
      <w:r>
        <w:rPr>
          <w:rFonts w:asciiTheme="majorHAnsi" w:hAnsiTheme="majorHAnsi" w:cstheme="majorHAnsi"/>
        </w:rPr>
        <w:t xml:space="preserve"> Joint Stipulation of Dismissal</w:t>
      </w:r>
      <w:r w:rsidRPr="00C021CF">
        <w:rPr>
          <w:rFonts w:asciiTheme="majorHAnsi" w:hAnsiTheme="majorHAnsi" w:cstheme="majorHAnsi"/>
        </w:rPr>
        <w:t xml:space="preserve">. </w:t>
      </w:r>
      <w:r w:rsidRPr="0002544E">
        <w:rPr>
          <w:rFonts w:asciiTheme="majorHAnsi" w:hAnsiTheme="majorHAnsi" w:cstheme="majorHAnsi"/>
        </w:rPr>
        <w:t>(2021, November 15). http</w:t>
      </w:r>
      <w:r w:rsidRPr="0086022F">
        <w:rPr>
          <w:rFonts w:asciiTheme="majorHAnsi" w:hAnsiTheme="majorHAnsi" w:cstheme="majorHAnsi"/>
        </w:rPr>
        <w:t>s://www.attorneygeneral.gov/wp-content/uploads/2021/11/2021-11-16-Tipped-Workers-Stipulation-of-Dismissal.pdf</w:t>
      </w:r>
    </w:p>
  </w:footnote>
  <w:footnote w:id="30">
    <w:p w14:paraId="5388FDF1" w14:textId="77777777" w:rsidR="00702C12" w:rsidRDefault="00702C12">
      <w:pPr>
        <w:pStyle w:val="FootnoteText"/>
      </w:pPr>
      <w:r>
        <w:rPr>
          <w:rStyle w:val="FootnoteReference"/>
        </w:rPr>
        <w:t>30</w:t>
      </w:r>
      <w:r>
        <w:t xml:space="preserve"> </w:t>
      </w:r>
      <w:r w:rsidRPr="00C021CF">
        <w:rPr>
          <w:rFonts w:asciiTheme="majorHAnsi" w:hAnsiTheme="majorHAnsi" w:cstheme="majorHAnsi"/>
        </w:rPr>
        <w:t>P</w:t>
      </w:r>
      <w:r>
        <w:rPr>
          <w:rFonts w:asciiTheme="majorHAnsi" w:hAnsiTheme="majorHAnsi" w:cstheme="majorHAnsi"/>
        </w:rPr>
        <w:t xml:space="preserve">ennsylvania </w:t>
      </w:r>
      <w:r w:rsidRPr="00C021CF">
        <w:rPr>
          <w:rFonts w:asciiTheme="majorHAnsi" w:hAnsiTheme="majorHAnsi" w:cstheme="majorHAnsi"/>
        </w:rPr>
        <w:t>Labor Day Review 2022</w:t>
      </w:r>
      <w:r>
        <w:rPr>
          <w:rFonts w:asciiTheme="majorHAnsi" w:hAnsiTheme="majorHAnsi" w:cstheme="majorHAnsi"/>
        </w:rPr>
        <w:t xml:space="preserve"> (n.d.)</w:t>
      </w:r>
      <w:r w:rsidRPr="00C021CF">
        <w:rPr>
          <w:rFonts w:asciiTheme="majorHAnsi" w:hAnsiTheme="majorHAnsi" w:cstheme="majorHAnsi"/>
        </w:rPr>
        <w:t xml:space="preserve">. </w:t>
      </w:r>
      <w:r>
        <w:rPr>
          <w:rFonts w:asciiTheme="majorHAnsi" w:hAnsiTheme="majorHAnsi" w:cstheme="majorHAnsi"/>
        </w:rPr>
        <w:t xml:space="preserve">Office of the Pennsylvania Attorney General. </w:t>
      </w:r>
      <w:r w:rsidRPr="00216013">
        <w:rPr>
          <w:rFonts w:asciiTheme="majorHAnsi" w:hAnsiTheme="majorHAnsi" w:cstheme="majorHAnsi"/>
        </w:rPr>
        <w:t>https://www.attorneygeneral.gov/wp-content/uploads/2022/09/2022-Fair-Labor-Labor-Day-Review.pdf</w:t>
      </w:r>
    </w:p>
  </w:footnote>
  <w:footnote w:id="31">
    <w:p w14:paraId="4982EABB" w14:textId="77777777" w:rsidR="00702C12" w:rsidRDefault="00702C12">
      <w:pPr>
        <w:pStyle w:val="FootnoteText"/>
      </w:pPr>
      <w:r>
        <w:rPr>
          <w:rStyle w:val="FootnoteReference"/>
        </w:rPr>
        <w:t>31</w:t>
      </w:r>
      <w:r>
        <w:t xml:space="preserve"> </w:t>
      </w:r>
      <w:r>
        <w:rPr>
          <w:rFonts w:asciiTheme="majorHAnsi" w:hAnsiTheme="majorHAnsi" w:cstheme="majorHAnsi"/>
        </w:rPr>
        <w:t xml:space="preserve">Attorney General Maura Healey’s </w:t>
      </w:r>
      <w:r w:rsidRPr="00C021CF">
        <w:rPr>
          <w:rFonts w:asciiTheme="majorHAnsi" w:hAnsiTheme="majorHAnsi" w:cstheme="majorHAnsi"/>
        </w:rPr>
        <w:t xml:space="preserve">Labor Day Report 2022. </w:t>
      </w:r>
      <w:r>
        <w:rPr>
          <w:rFonts w:asciiTheme="majorHAnsi" w:hAnsiTheme="majorHAnsi" w:cstheme="majorHAnsi"/>
        </w:rPr>
        <w:t xml:space="preserve">(n.d.). Office of the Massachusetts Attorney General. </w:t>
      </w:r>
      <w:r w:rsidRPr="00DE4524">
        <w:rPr>
          <w:rFonts w:asciiTheme="majorHAnsi" w:hAnsiTheme="majorHAnsi" w:cstheme="majorHAnsi"/>
        </w:rPr>
        <w:t>https://www.mass.gov/doc/labor-day-report-2022/download#:~:text=During%20FY2022%2C%20Fair%20Labor%20continued,restitution%20and%20%24568%2C500%20in%20penalties.</w:t>
      </w:r>
    </w:p>
  </w:footnote>
  <w:footnote w:id="32">
    <w:p w14:paraId="3E73DC27" w14:textId="77777777" w:rsidR="00702C12" w:rsidRDefault="00702C12">
      <w:pPr>
        <w:pStyle w:val="FootnoteText"/>
      </w:pPr>
      <w:r>
        <w:rPr>
          <w:rStyle w:val="FootnoteReference"/>
        </w:rPr>
        <w:t>32</w:t>
      </w:r>
      <w:r>
        <w:t xml:space="preserve"> </w:t>
      </w:r>
      <w:r>
        <w:rPr>
          <w:rFonts w:asciiTheme="majorHAnsi" w:hAnsiTheme="majorHAnsi" w:cstheme="majorHAnsi"/>
        </w:rPr>
        <w:t xml:space="preserve">2022 </w:t>
      </w:r>
      <w:r w:rsidRPr="00C021CF">
        <w:rPr>
          <w:rFonts w:asciiTheme="majorHAnsi" w:hAnsiTheme="majorHAnsi" w:cstheme="majorHAnsi"/>
        </w:rPr>
        <w:t>Labor Day Report</w:t>
      </w:r>
      <w:r>
        <w:rPr>
          <w:rFonts w:asciiTheme="majorHAnsi" w:hAnsiTheme="majorHAnsi" w:cstheme="majorHAnsi"/>
        </w:rPr>
        <w:t xml:space="preserve"> </w:t>
      </w:r>
      <w:r w:rsidRPr="00C021CF">
        <w:rPr>
          <w:rFonts w:asciiTheme="majorHAnsi" w:hAnsiTheme="majorHAnsi" w:cstheme="majorHAnsi"/>
        </w:rPr>
        <w:t>2022</w:t>
      </w:r>
      <w:r>
        <w:rPr>
          <w:rFonts w:asciiTheme="majorHAnsi" w:hAnsiTheme="majorHAnsi" w:cstheme="majorHAnsi"/>
        </w:rPr>
        <w:t xml:space="preserve"> (n.d.)</w:t>
      </w:r>
      <w:r w:rsidRPr="00C021CF">
        <w:rPr>
          <w:rFonts w:asciiTheme="majorHAnsi" w:hAnsiTheme="majorHAnsi" w:cstheme="majorHAnsi"/>
        </w:rPr>
        <w:t>.</w:t>
      </w:r>
      <w:r>
        <w:rPr>
          <w:rFonts w:asciiTheme="majorHAnsi" w:hAnsiTheme="majorHAnsi" w:cstheme="majorHAnsi"/>
        </w:rPr>
        <w:t xml:space="preserve"> Office of the Illinois Attorney General., 22. </w:t>
      </w:r>
      <w:r w:rsidRPr="00EC15F5">
        <w:rPr>
          <w:rFonts w:asciiTheme="majorHAnsi" w:hAnsiTheme="majorHAnsi" w:cstheme="majorHAnsi"/>
        </w:rPr>
        <w:t>https://illinoisattorneygeneral.gov/Page-Attachments/Labor%20Day%20Report_English.pdf</w:t>
      </w:r>
    </w:p>
  </w:footnote>
  <w:footnote w:id="33">
    <w:p w14:paraId="7DD1A44C" w14:textId="77777777" w:rsidR="00702C12" w:rsidRDefault="00702C12">
      <w:pPr>
        <w:pStyle w:val="FootnoteText"/>
      </w:pPr>
      <w:r>
        <w:rPr>
          <w:rStyle w:val="FootnoteReference"/>
        </w:rPr>
        <w:t>33</w:t>
      </w:r>
      <w:r>
        <w:t xml:space="preserve"> </w:t>
      </w:r>
      <w:r>
        <w:rPr>
          <w:rFonts w:asciiTheme="majorHAnsi" w:hAnsiTheme="majorHAnsi" w:cstheme="majorHAnsi"/>
        </w:rPr>
        <w:t xml:space="preserve">2022 </w:t>
      </w:r>
      <w:r w:rsidRPr="00C021CF">
        <w:rPr>
          <w:rFonts w:asciiTheme="majorHAnsi" w:hAnsiTheme="majorHAnsi" w:cstheme="majorHAnsi"/>
        </w:rPr>
        <w:t>Labor Day Report</w:t>
      </w:r>
      <w:r>
        <w:rPr>
          <w:rFonts w:asciiTheme="majorHAnsi" w:hAnsiTheme="majorHAnsi" w:cstheme="majorHAnsi"/>
        </w:rPr>
        <w:t xml:space="preserve"> </w:t>
      </w:r>
      <w:r w:rsidRPr="00C021CF">
        <w:rPr>
          <w:rFonts w:asciiTheme="majorHAnsi" w:hAnsiTheme="majorHAnsi" w:cstheme="majorHAnsi"/>
        </w:rPr>
        <w:t>2022</w:t>
      </w:r>
      <w:r>
        <w:rPr>
          <w:rFonts w:asciiTheme="majorHAnsi" w:hAnsiTheme="majorHAnsi" w:cstheme="majorHAnsi"/>
        </w:rPr>
        <w:t xml:space="preserve"> (n.d.)</w:t>
      </w:r>
      <w:r w:rsidRPr="00C021CF">
        <w:rPr>
          <w:rFonts w:asciiTheme="majorHAnsi" w:hAnsiTheme="majorHAnsi" w:cstheme="majorHAnsi"/>
        </w:rPr>
        <w:t>.</w:t>
      </w:r>
      <w:r>
        <w:rPr>
          <w:rFonts w:asciiTheme="majorHAnsi" w:hAnsiTheme="majorHAnsi" w:cstheme="majorHAnsi"/>
        </w:rPr>
        <w:t xml:space="preserve"> Office of the Illinois Attorney General., 22. </w:t>
      </w:r>
      <w:r w:rsidRPr="00EC15F5">
        <w:rPr>
          <w:rFonts w:asciiTheme="majorHAnsi" w:hAnsiTheme="majorHAnsi" w:cstheme="majorHAnsi"/>
        </w:rPr>
        <w:t>https://illinoisattorneygeneral.gov/Page-Attachments/Labor%20Day%20Report_English.pdf</w:t>
      </w:r>
    </w:p>
  </w:footnote>
  <w:footnote w:id="34">
    <w:p w14:paraId="6E98F988" w14:textId="77777777" w:rsidR="00702C12" w:rsidRDefault="00702C12">
      <w:pPr>
        <w:pStyle w:val="FootnoteText"/>
      </w:pPr>
      <w:r>
        <w:rPr>
          <w:rStyle w:val="FootnoteReference"/>
        </w:rPr>
        <w:t>34</w:t>
      </w:r>
      <w:r>
        <w:t xml:space="preserve"> </w:t>
      </w:r>
      <w:r w:rsidRPr="00C021CF">
        <w:rPr>
          <w:rFonts w:asciiTheme="majorHAnsi" w:hAnsiTheme="majorHAnsi" w:cstheme="majorHAnsi"/>
        </w:rPr>
        <w:t xml:space="preserve">Tippett, </w:t>
      </w:r>
      <w:r>
        <w:rPr>
          <w:rFonts w:asciiTheme="majorHAnsi" w:hAnsiTheme="majorHAnsi" w:cstheme="majorHAnsi"/>
        </w:rPr>
        <w:t xml:space="preserve">E. </w:t>
      </w:r>
      <w:r w:rsidRPr="009E38E6">
        <w:rPr>
          <w:rFonts w:asciiTheme="majorHAnsi" w:hAnsiTheme="majorHAnsi" w:cstheme="majorHAnsi"/>
        </w:rPr>
        <w:t>et al.</w:t>
      </w:r>
      <w:r>
        <w:rPr>
          <w:rFonts w:asciiTheme="majorHAnsi" w:hAnsiTheme="majorHAnsi" w:cstheme="majorHAnsi"/>
        </w:rPr>
        <w:t xml:space="preserve"> (2018).</w:t>
      </w:r>
      <w:r w:rsidRPr="00C021CF">
        <w:rPr>
          <w:rFonts w:asciiTheme="majorHAnsi" w:hAnsiTheme="majorHAnsi" w:cstheme="majorHAnsi"/>
        </w:rPr>
        <w:t xml:space="preserve"> </w:t>
      </w:r>
      <w:r w:rsidRPr="0013243D">
        <w:rPr>
          <w:rFonts w:asciiTheme="majorHAnsi" w:hAnsiTheme="majorHAnsi" w:cstheme="majorHAnsi"/>
        </w:rPr>
        <w:t>How Concepcion and Italian Colors Affected Terms of Service Contracts in the Gig Economy</w:t>
      </w:r>
      <w:r w:rsidRPr="00630BFE">
        <w:rPr>
          <w:rFonts w:asciiTheme="majorHAnsi" w:hAnsiTheme="majorHAnsi" w:cstheme="majorHAnsi"/>
        </w:rPr>
        <w:t>, 170 Rutgers U.L. Rev. 459</w:t>
      </w:r>
      <w:r>
        <w:rPr>
          <w:rFonts w:asciiTheme="majorHAnsi" w:hAnsiTheme="majorHAnsi" w:cstheme="majorHAnsi"/>
        </w:rPr>
        <w:t>.</w:t>
      </w:r>
      <w:r w:rsidRPr="00C021CF">
        <w:rPr>
          <w:rFonts w:asciiTheme="majorHAnsi" w:hAnsiTheme="majorHAnsi" w:cstheme="majorHAnsi"/>
        </w:rPr>
        <w:t xml:space="preserve"> </w:t>
      </w:r>
      <w:r w:rsidRPr="00630BFE">
        <w:rPr>
          <w:rFonts w:asciiTheme="majorHAnsi" w:hAnsiTheme="majorHAnsi" w:cstheme="majorHAnsi"/>
        </w:rPr>
        <w:t>http://www.rutgerslawreview.com/wp-content/uploads/2018/09/How-Concepcion-and-Italian-Colors-Affected-Terms-of-Service-Contracts-in-the-Gig-Economy.pdf</w:t>
      </w:r>
    </w:p>
  </w:footnote>
  <w:footnote w:id="35">
    <w:p w14:paraId="7DA9D568" w14:textId="77777777" w:rsidR="00702C12" w:rsidRDefault="00702C12">
      <w:pPr>
        <w:pStyle w:val="FootnoteText"/>
      </w:pPr>
      <w:r>
        <w:rPr>
          <w:rStyle w:val="FootnoteReference"/>
        </w:rPr>
        <w:t>35</w:t>
      </w:r>
      <w:r>
        <w:t xml:space="preserve"> </w:t>
      </w:r>
      <w:r w:rsidRPr="00185091">
        <w:rPr>
          <w:rFonts w:asciiTheme="majorHAnsi" w:hAnsiTheme="majorHAnsi" w:cstheme="majorHAnsi"/>
        </w:rPr>
        <w:t xml:space="preserve">Cal. Labor Code § 2698 et seq.; </w:t>
      </w:r>
      <w:r w:rsidRPr="00185091">
        <w:rPr>
          <w:rFonts w:asciiTheme="majorHAnsi" w:hAnsiTheme="majorHAnsi" w:cstheme="majorHAnsi"/>
          <w:i/>
          <w:iCs/>
        </w:rPr>
        <w:t xml:space="preserve">see also </w:t>
      </w:r>
      <w:r w:rsidRPr="00185091">
        <w:rPr>
          <w:rFonts w:asciiTheme="majorHAnsi" w:hAnsiTheme="majorHAnsi" w:cstheme="majorHAnsi"/>
        </w:rPr>
        <w:t xml:space="preserve">California Department of Industrial Relations, Private Attorneys General Act (PAGA) </w:t>
      </w:r>
      <w:r>
        <w:rPr>
          <w:rFonts w:asciiTheme="majorHAnsi" w:hAnsiTheme="majorHAnsi" w:cstheme="majorHAnsi"/>
        </w:rPr>
        <w:t>–</w:t>
      </w:r>
      <w:r w:rsidRPr="00185091">
        <w:rPr>
          <w:rFonts w:asciiTheme="majorHAnsi" w:hAnsiTheme="majorHAnsi" w:cstheme="majorHAnsi"/>
        </w:rPr>
        <w:t xml:space="preserve"> Filing</w:t>
      </w:r>
      <w:r>
        <w:rPr>
          <w:rFonts w:asciiTheme="majorHAnsi" w:hAnsiTheme="majorHAnsi" w:cstheme="majorHAnsi"/>
        </w:rPr>
        <w:t xml:space="preserve">. </w:t>
      </w:r>
      <w:r w:rsidRPr="00076BB3">
        <w:rPr>
          <w:rFonts w:asciiTheme="majorHAnsi" w:hAnsiTheme="majorHAnsi" w:cstheme="majorHAnsi"/>
        </w:rPr>
        <w:t>https://www.dir.ca.gov/Private-Attorneys-General-Act/Private-Attorneys-General-Act.html</w:t>
      </w:r>
    </w:p>
  </w:footnote>
  <w:footnote w:id="36">
    <w:p w14:paraId="776CF27C" w14:textId="77777777" w:rsidR="00702C12" w:rsidRDefault="00702C12">
      <w:pPr>
        <w:pStyle w:val="FootnoteText"/>
      </w:pPr>
      <w:r>
        <w:rPr>
          <w:rStyle w:val="FootnoteReference"/>
        </w:rPr>
        <w:t>36</w:t>
      </w:r>
      <w:r>
        <w:t xml:space="preserve"> </w:t>
      </w:r>
      <w:r w:rsidRPr="00C021CF">
        <w:rPr>
          <w:rFonts w:asciiTheme="majorHAnsi" w:hAnsiTheme="majorHAnsi" w:cstheme="majorHAnsi"/>
          <w:i/>
          <w:iCs/>
        </w:rPr>
        <w:t xml:space="preserve">Viking River Cruises, Inc. v. Moriana, </w:t>
      </w:r>
      <w:r w:rsidRPr="00C021CF">
        <w:rPr>
          <w:rFonts w:asciiTheme="majorHAnsi" w:hAnsiTheme="majorHAnsi" w:cstheme="majorHAnsi"/>
        </w:rPr>
        <w:t>142 S.Ct. 1906 (2022)</w:t>
      </w:r>
      <w:r>
        <w:rPr>
          <w:rFonts w:asciiTheme="majorHAnsi" w:hAnsiTheme="majorHAnsi" w:cstheme="majorHAnsi"/>
        </w:rPr>
        <w:t xml:space="preserve"> Opinion. </w:t>
      </w:r>
      <w:r w:rsidRPr="00C35D06">
        <w:rPr>
          <w:rFonts w:asciiTheme="majorHAnsi" w:hAnsiTheme="majorHAnsi" w:cstheme="majorHAnsi"/>
        </w:rPr>
        <w:t>https://www.supremecourt.gov/opinions/21pdf/20-1573_8p6h.pdf</w:t>
      </w:r>
    </w:p>
  </w:footnote>
  <w:footnote w:id="37">
    <w:p w14:paraId="299F7B0E" w14:textId="77777777" w:rsidR="00702C12" w:rsidRDefault="00702C12">
      <w:pPr>
        <w:pStyle w:val="FootnoteText"/>
      </w:pPr>
      <w:r>
        <w:rPr>
          <w:rStyle w:val="FootnoteReference"/>
        </w:rPr>
        <w:t>37</w:t>
      </w:r>
      <w:r>
        <w:t xml:space="preserve"> </w:t>
      </w:r>
      <w:r w:rsidRPr="00C021CF">
        <w:rPr>
          <w:rFonts w:asciiTheme="majorHAnsi" w:hAnsiTheme="majorHAnsi" w:cstheme="majorHAnsi"/>
          <w:i/>
          <w:iCs/>
        </w:rPr>
        <w:t xml:space="preserve">Viking River Cruises, Inc. v. Moriana, </w:t>
      </w:r>
      <w:r w:rsidRPr="00C021CF">
        <w:rPr>
          <w:rFonts w:asciiTheme="majorHAnsi" w:hAnsiTheme="majorHAnsi" w:cstheme="majorHAnsi"/>
        </w:rPr>
        <w:t>142 S.Ct. 1906 (2022)</w:t>
      </w:r>
      <w:r>
        <w:rPr>
          <w:rFonts w:asciiTheme="majorHAnsi" w:hAnsiTheme="majorHAnsi" w:cstheme="majorHAnsi"/>
        </w:rPr>
        <w:t xml:space="preserve"> Opinion. </w:t>
      </w:r>
      <w:r w:rsidRPr="00C35D06">
        <w:rPr>
          <w:rFonts w:asciiTheme="majorHAnsi" w:hAnsiTheme="majorHAnsi" w:cstheme="majorHAnsi"/>
        </w:rPr>
        <w:t>https://www.supremecourt.gov/opinions/21pdf/20-1573_8p6h.pdf</w:t>
      </w:r>
    </w:p>
  </w:footnote>
  <w:footnote w:id="38">
    <w:p w14:paraId="6640933D" w14:textId="77777777" w:rsidR="00702C12" w:rsidRDefault="00702C12">
      <w:pPr>
        <w:pStyle w:val="FootnoteText"/>
      </w:pPr>
      <w:r>
        <w:rPr>
          <w:rStyle w:val="FootnoteReference"/>
        </w:rPr>
        <w:t>38</w:t>
      </w:r>
      <w:r>
        <w:t xml:space="preserve"> </w:t>
      </w:r>
      <w:r w:rsidRPr="002715BD">
        <w:rPr>
          <w:rFonts w:asciiTheme="majorHAnsi" w:hAnsiTheme="majorHAnsi" w:cstheme="majorHAnsi"/>
        </w:rPr>
        <w:t>Dreier, H., &amp;</w:t>
      </w:r>
      <w:r>
        <w:rPr>
          <w:rFonts w:asciiTheme="majorHAnsi" w:hAnsiTheme="majorHAnsi" w:cstheme="majorHAnsi"/>
        </w:rPr>
        <w:t xml:space="preserve"> </w:t>
      </w:r>
      <w:r w:rsidRPr="002715BD">
        <w:rPr>
          <w:rFonts w:asciiTheme="majorHAnsi" w:hAnsiTheme="majorHAnsi" w:cstheme="majorHAnsi"/>
        </w:rPr>
        <w:t>Luce, K. (2023, February 25). Alone and exploited, migrant children work brutal jobs across the U.S. The New York Times. https://www.nytimes.com/2023/02/25/us/unaccompanied-migrant-child-workers-exploitation.html</w:t>
      </w:r>
      <w:r>
        <w:rPr>
          <w:rFonts w:asciiTheme="majorHAnsi" w:hAnsiTheme="majorHAnsi" w:cstheme="majorHAnsi"/>
        </w:rPr>
        <w:t xml:space="preserve">.  </w:t>
      </w:r>
    </w:p>
  </w:footnote>
  <w:footnote w:id="39">
    <w:p w14:paraId="565D6C1E" w14:textId="77777777" w:rsidR="00702C12" w:rsidRDefault="00702C12">
      <w:pPr>
        <w:pStyle w:val="FootnoteText"/>
      </w:pPr>
      <w:r>
        <w:rPr>
          <w:rStyle w:val="FootnoteReference"/>
        </w:rPr>
        <w:t>39</w:t>
      </w:r>
      <w:r>
        <w:t xml:space="preserve"> </w:t>
      </w:r>
      <w:r w:rsidRPr="00717E2F">
        <w:rPr>
          <w:rFonts w:asciiTheme="majorHAnsi" w:hAnsiTheme="majorHAnsi" w:cstheme="majorHAnsi"/>
        </w:rPr>
        <w:t xml:space="preserve">Rising child migration to the United States. </w:t>
      </w:r>
      <w:r>
        <w:rPr>
          <w:rFonts w:asciiTheme="majorHAnsi" w:hAnsiTheme="majorHAnsi" w:cstheme="majorHAnsi"/>
        </w:rPr>
        <w:t>Migration Policy Institute.</w:t>
      </w:r>
      <w:r w:rsidRPr="00717E2F">
        <w:rPr>
          <w:rFonts w:asciiTheme="majorHAnsi" w:hAnsiTheme="majorHAnsi" w:cstheme="majorHAnsi"/>
        </w:rPr>
        <w:t xml:space="preserve"> (2022, December 14). https://www.migrationpolicy.org/programs/us-immigration-policy-program/rising-child-migration-united-states</w:t>
      </w:r>
    </w:p>
  </w:footnote>
  <w:footnote w:id="40">
    <w:p w14:paraId="59099662" w14:textId="77777777" w:rsidR="00702C12" w:rsidRDefault="00702C12">
      <w:pPr>
        <w:pStyle w:val="FootnoteText"/>
      </w:pPr>
      <w:r>
        <w:rPr>
          <w:rStyle w:val="FootnoteReference"/>
        </w:rPr>
        <w:t>40</w:t>
      </w:r>
      <w:r>
        <w:t xml:space="preserve"> </w:t>
      </w:r>
      <w:r w:rsidRPr="00717E2F">
        <w:rPr>
          <w:rFonts w:asciiTheme="majorHAnsi" w:hAnsiTheme="majorHAnsi" w:cstheme="majorHAnsi"/>
        </w:rPr>
        <w:t xml:space="preserve">Rising child migration to the United States. </w:t>
      </w:r>
      <w:r>
        <w:rPr>
          <w:rFonts w:asciiTheme="majorHAnsi" w:hAnsiTheme="majorHAnsi" w:cstheme="majorHAnsi"/>
        </w:rPr>
        <w:t>Migration Policy Institute.</w:t>
      </w:r>
      <w:r w:rsidRPr="00717E2F">
        <w:rPr>
          <w:rFonts w:asciiTheme="majorHAnsi" w:hAnsiTheme="majorHAnsi" w:cstheme="majorHAnsi"/>
        </w:rPr>
        <w:t xml:space="preserve"> (2022, December 14). https://www.migrationpolicy.org/programs/us-immigration-policy-program/rising-child-migration-united-states</w:t>
      </w:r>
    </w:p>
  </w:footnote>
  <w:footnote w:id="41">
    <w:p w14:paraId="5FDB257C" w14:textId="77777777" w:rsidR="00702C12" w:rsidRDefault="00702C12">
      <w:pPr>
        <w:pStyle w:val="FootnoteText"/>
      </w:pPr>
      <w:r>
        <w:rPr>
          <w:rStyle w:val="FootnoteReference"/>
        </w:rPr>
        <w:t>41</w:t>
      </w:r>
      <w:r>
        <w:t xml:space="preserve"> </w:t>
      </w:r>
      <w:r w:rsidRPr="00C021CF">
        <w:rPr>
          <w:rFonts w:asciiTheme="majorHAnsi" w:hAnsiTheme="majorHAnsi" w:cstheme="majorHAnsi"/>
          <w:color w:val="333333"/>
          <w:shd w:val="clear" w:color="auto" w:fill="FFFFFF"/>
        </w:rPr>
        <w:t>Despite such trends, Arkansas rolled back requirements to verify the ages of workers under sixteen.</w:t>
      </w:r>
      <w:r>
        <w:rPr>
          <w:rFonts w:asciiTheme="majorHAnsi" w:hAnsiTheme="majorHAnsi" w:cstheme="majorHAnsi"/>
          <w:color w:val="333333"/>
          <w:shd w:val="clear" w:color="auto" w:fill="FFFFFF"/>
        </w:rPr>
        <w:t xml:space="preserve"> </w:t>
      </w:r>
      <w:r>
        <w:rPr>
          <w:rFonts w:asciiTheme="majorHAnsi" w:hAnsiTheme="majorHAnsi" w:cstheme="majorHAnsi"/>
          <w:i/>
          <w:iCs/>
          <w:color w:val="333333"/>
          <w:shd w:val="clear" w:color="auto" w:fill="FFFFFF"/>
        </w:rPr>
        <w:t xml:space="preserve">See </w:t>
      </w:r>
      <w:r w:rsidRPr="004757FA">
        <w:rPr>
          <w:rFonts w:asciiTheme="majorHAnsi" w:hAnsiTheme="majorHAnsi" w:cstheme="majorHAnsi"/>
        </w:rPr>
        <w:t>Radde, K. (2023, March 10). Arkansas gov. Sanders signs a law that makes it easier to employ children. NPR. https://www.npr.org/2023/03/10/1162531885/arkansas-child-labor-law-under-16-years-old-sarah-huckabee-sanders</w:t>
      </w:r>
      <w:r>
        <w:rPr>
          <w:rFonts w:asciiTheme="majorHAnsi" w:hAnsiTheme="majorHAnsi" w:cstheme="majorHAnsi"/>
        </w:rPr>
        <w:t>.</w:t>
      </w:r>
    </w:p>
  </w:footnote>
  <w:footnote w:id="42">
    <w:p w14:paraId="7539F7DC" w14:textId="77777777" w:rsidR="00702C12" w:rsidRDefault="00702C12">
      <w:pPr>
        <w:pStyle w:val="FootnoteText"/>
      </w:pPr>
      <w:r>
        <w:rPr>
          <w:rStyle w:val="FootnoteReference"/>
        </w:rPr>
        <w:t>42</w:t>
      </w:r>
      <w:r>
        <w:t xml:space="preserve"> </w:t>
      </w:r>
      <w:r w:rsidRPr="00C021CF">
        <w:rPr>
          <w:rFonts w:asciiTheme="majorHAnsi" w:hAnsiTheme="majorHAnsi" w:cstheme="majorHAnsi"/>
        </w:rPr>
        <w:t>Gerstein,</w:t>
      </w:r>
      <w:r>
        <w:rPr>
          <w:rFonts w:asciiTheme="majorHAnsi" w:hAnsiTheme="majorHAnsi" w:cstheme="majorHAnsi"/>
        </w:rPr>
        <w:t xml:space="preserve"> T. (Fall 2020).</w:t>
      </w:r>
      <w:r w:rsidRPr="00C021CF">
        <w:rPr>
          <w:rFonts w:asciiTheme="majorHAnsi" w:hAnsiTheme="majorHAnsi" w:cstheme="majorHAnsi"/>
        </w:rPr>
        <w:t xml:space="preserve"> </w:t>
      </w:r>
      <w:r w:rsidRPr="00182638">
        <w:rPr>
          <w:rFonts w:asciiTheme="majorHAnsi" w:hAnsiTheme="majorHAnsi" w:cstheme="majorHAnsi"/>
        </w:rPr>
        <w:t>State and Local Workers’ Rights Innovations: New Players, New Laws, New Methods of Enforcement,</w:t>
      </w:r>
      <w:r w:rsidRPr="00C021CF">
        <w:rPr>
          <w:rFonts w:asciiTheme="majorHAnsi" w:hAnsiTheme="majorHAnsi" w:cstheme="majorHAnsi"/>
        </w:rPr>
        <w:t xml:space="preserve"> 65 St. Louis U.L.J.</w:t>
      </w:r>
      <w:r>
        <w:rPr>
          <w:rFonts w:asciiTheme="majorHAnsi" w:hAnsiTheme="majorHAnsi" w:cstheme="majorHAnsi"/>
        </w:rPr>
        <w:t>,</w:t>
      </w:r>
      <w:r w:rsidRPr="00C021CF">
        <w:rPr>
          <w:rFonts w:asciiTheme="majorHAnsi" w:hAnsiTheme="majorHAnsi" w:cstheme="majorHAnsi"/>
        </w:rPr>
        <w:t xml:space="preserve"> 45, 51-</w:t>
      </w:r>
      <w:r>
        <w:rPr>
          <w:rFonts w:asciiTheme="majorHAnsi" w:hAnsiTheme="majorHAnsi" w:cstheme="majorHAnsi"/>
        </w:rPr>
        <w:t xml:space="preserve">52. </w:t>
      </w:r>
      <w:r w:rsidRPr="00182638">
        <w:rPr>
          <w:rFonts w:asciiTheme="majorHAnsi" w:hAnsiTheme="majorHAnsi" w:cstheme="majorHAnsi"/>
        </w:rPr>
        <w:t>https://scholarship.law.slu.edu/cgi/viewcontent.cgi?article=2198&amp;amp;context=lj</w:t>
      </w:r>
    </w:p>
  </w:footnote>
  <w:footnote w:id="43">
    <w:p w14:paraId="4BE6AFC1" w14:textId="77777777" w:rsidR="00702C12" w:rsidRDefault="00702C12">
      <w:pPr>
        <w:pStyle w:val="FootnoteText"/>
      </w:pPr>
      <w:r>
        <w:rPr>
          <w:rStyle w:val="FootnoteReference"/>
        </w:rPr>
        <w:t>43</w:t>
      </w:r>
      <w:r>
        <w:t xml:space="preserve"> </w:t>
      </w:r>
      <w:r w:rsidRPr="00C021CF">
        <w:rPr>
          <w:rFonts w:asciiTheme="majorHAnsi" w:hAnsiTheme="majorHAnsi" w:cstheme="majorHAnsi"/>
        </w:rPr>
        <w:t>Gerstein,</w:t>
      </w:r>
      <w:r>
        <w:rPr>
          <w:rFonts w:asciiTheme="majorHAnsi" w:hAnsiTheme="majorHAnsi" w:cstheme="majorHAnsi"/>
        </w:rPr>
        <w:t xml:space="preserve"> T. (Fall 2020).</w:t>
      </w:r>
      <w:r w:rsidRPr="00C021CF">
        <w:rPr>
          <w:rFonts w:asciiTheme="majorHAnsi" w:hAnsiTheme="majorHAnsi" w:cstheme="majorHAnsi"/>
        </w:rPr>
        <w:t xml:space="preserve"> </w:t>
      </w:r>
      <w:r w:rsidRPr="00182638">
        <w:rPr>
          <w:rFonts w:asciiTheme="majorHAnsi" w:hAnsiTheme="majorHAnsi" w:cstheme="majorHAnsi"/>
        </w:rPr>
        <w:t>State and Local Workers’ Rights Innovations: New Players, New Laws, New Methods of Enforcement,</w:t>
      </w:r>
      <w:r w:rsidRPr="00C021CF">
        <w:rPr>
          <w:rFonts w:asciiTheme="majorHAnsi" w:hAnsiTheme="majorHAnsi" w:cstheme="majorHAnsi"/>
        </w:rPr>
        <w:t xml:space="preserve"> 65 St. Louis U.L.J.</w:t>
      </w:r>
      <w:r>
        <w:rPr>
          <w:rFonts w:asciiTheme="majorHAnsi" w:hAnsiTheme="majorHAnsi" w:cstheme="majorHAnsi"/>
        </w:rPr>
        <w:t>,</w:t>
      </w:r>
      <w:r w:rsidRPr="00C021CF">
        <w:rPr>
          <w:rFonts w:asciiTheme="majorHAnsi" w:hAnsiTheme="majorHAnsi" w:cstheme="majorHAnsi"/>
        </w:rPr>
        <w:t xml:space="preserve"> 45, 51-</w:t>
      </w:r>
      <w:r>
        <w:rPr>
          <w:rFonts w:asciiTheme="majorHAnsi" w:hAnsiTheme="majorHAnsi" w:cstheme="majorHAnsi"/>
        </w:rPr>
        <w:t xml:space="preserve">52. </w:t>
      </w:r>
      <w:r w:rsidRPr="00182638">
        <w:rPr>
          <w:rFonts w:asciiTheme="majorHAnsi" w:hAnsiTheme="majorHAnsi" w:cstheme="majorHAnsi"/>
        </w:rPr>
        <w:t>https://scholarship.law.slu.edu/cgi/viewcontent.cgi?article=2198&amp;amp;context=lj</w:t>
      </w:r>
    </w:p>
  </w:footnote>
  <w:footnote w:id="44">
    <w:p w14:paraId="6BF14A44" w14:textId="77777777" w:rsidR="00702C12" w:rsidRDefault="00702C12">
      <w:pPr>
        <w:pStyle w:val="FootnoteText"/>
      </w:pPr>
      <w:r>
        <w:rPr>
          <w:rStyle w:val="FootnoteReference"/>
        </w:rPr>
        <w:t>44</w:t>
      </w:r>
      <w:r>
        <w:t xml:space="preserve"> </w:t>
      </w:r>
      <w:r w:rsidRPr="00C021CF">
        <w:rPr>
          <w:rFonts w:asciiTheme="majorHAnsi" w:hAnsiTheme="majorHAnsi" w:cstheme="majorHAnsi"/>
        </w:rPr>
        <w:t>Gerstein,</w:t>
      </w:r>
      <w:r>
        <w:rPr>
          <w:rFonts w:asciiTheme="majorHAnsi" w:hAnsiTheme="majorHAnsi" w:cstheme="majorHAnsi"/>
        </w:rPr>
        <w:t xml:space="preserve"> T. (Fall 2020).</w:t>
      </w:r>
      <w:r w:rsidRPr="00C021CF">
        <w:rPr>
          <w:rFonts w:asciiTheme="majorHAnsi" w:hAnsiTheme="majorHAnsi" w:cstheme="majorHAnsi"/>
        </w:rPr>
        <w:t xml:space="preserve"> </w:t>
      </w:r>
      <w:r w:rsidRPr="00182638">
        <w:rPr>
          <w:rFonts w:asciiTheme="majorHAnsi" w:hAnsiTheme="majorHAnsi" w:cstheme="majorHAnsi"/>
        </w:rPr>
        <w:t>State and Local Workers’ Rights Innovations: New Players, New Laws, New Methods of Enforcement,</w:t>
      </w:r>
      <w:r w:rsidRPr="00C021CF">
        <w:rPr>
          <w:rFonts w:asciiTheme="majorHAnsi" w:hAnsiTheme="majorHAnsi" w:cstheme="majorHAnsi"/>
        </w:rPr>
        <w:t xml:space="preserve"> 65 St. Louis U.L.J.</w:t>
      </w:r>
      <w:r>
        <w:rPr>
          <w:rFonts w:asciiTheme="majorHAnsi" w:hAnsiTheme="majorHAnsi" w:cstheme="majorHAnsi"/>
        </w:rPr>
        <w:t>,</w:t>
      </w:r>
      <w:r w:rsidRPr="00C021CF">
        <w:rPr>
          <w:rFonts w:asciiTheme="majorHAnsi" w:hAnsiTheme="majorHAnsi" w:cstheme="majorHAnsi"/>
        </w:rPr>
        <w:t xml:space="preserve"> 45, 51-</w:t>
      </w:r>
      <w:r>
        <w:rPr>
          <w:rFonts w:asciiTheme="majorHAnsi" w:hAnsiTheme="majorHAnsi" w:cstheme="majorHAnsi"/>
        </w:rPr>
        <w:t xml:space="preserve">52. </w:t>
      </w:r>
      <w:r w:rsidRPr="00182638">
        <w:rPr>
          <w:rFonts w:asciiTheme="majorHAnsi" w:hAnsiTheme="majorHAnsi" w:cstheme="majorHAnsi"/>
        </w:rPr>
        <w:t>https://scholarship.law.slu.edu/cgi/viewcontent.cgi?article=2198&amp;amp;context=lj</w:t>
      </w:r>
      <w:r>
        <w:rPr>
          <w:rFonts w:asciiTheme="majorHAnsi" w:hAnsiTheme="majorHAnsi" w:cstheme="maj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020FD"/>
    <w:multiLevelType w:val="hybridMultilevel"/>
    <w:tmpl w:val="8364FD5A"/>
    <w:lvl w:ilvl="0" w:tplc="3EAE0140">
      <w:start w:val="1"/>
      <w:numFmt w:val="bullet"/>
      <w:lvlText w:val=""/>
      <w:lvlJc w:val="left"/>
      <w:pPr>
        <w:ind w:left="1440" w:hanging="360"/>
      </w:pPr>
      <w:rPr>
        <w:rFonts w:ascii="Symbol" w:hAnsi="Symbol" w:hint="default"/>
      </w:rPr>
    </w:lvl>
    <w:lvl w:ilvl="1" w:tplc="730AE954" w:tentative="1">
      <w:start w:val="1"/>
      <w:numFmt w:val="bullet"/>
      <w:lvlText w:val="o"/>
      <w:lvlJc w:val="left"/>
      <w:pPr>
        <w:ind w:left="2160" w:hanging="360"/>
      </w:pPr>
      <w:rPr>
        <w:rFonts w:ascii="Courier New" w:hAnsi="Courier New" w:hint="default"/>
      </w:rPr>
    </w:lvl>
    <w:lvl w:ilvl="2" w:tplc="C8A613F0" w:tentative="1">
      <w:start w:val="1"/>
      <w:numFmt w:val="bullet"/>
      <w:lvlText w:val=""/>
      <w:lvlJc w:val="left"/>
      <w:pPr>
        <w:ind w:left="2880" w:hanging="360"/>
      </w:pPr>
      <w:rPr>
        <w:rFonts w:ascii="Wingdings" w:hAnsi="Wingdings" w:hint="default"/>
      </w:rPr>
    </w:lvl>
    <w:lvl w:ilvl="3" w:tplc="2F3C71DA" w:tentative="1">
      <w:start w:val="1"/>
      <w:numFmt w:val="bullet"/>
      <w:lvlText w:val=""/>
      <w:lvlJc w:val="left"/>
      <w:pPr>
        <w:ind w:left="3600" w:hanging="360"/>
      </w:pPr>
      <w:rPr>
        <w:rFonts w:ascii="Symbol" w:hAnsi="Symbol" w:hint="default"/>
      </w:rPr>
    </w:lvl>
    <w:lvl w:ilvl="4" w:tplc="3FE6CA90" w:tentative="1">
      <w:start w:val="1"/>
      <w:numFmt w:val="bullet"/>
      <w:lvlText w:val="o"/>
      <w:lvlJc w:val="left"/>
      <w:pPr>
        <w:ind w:left="4320" w:hanging="360"/>
      </w:pPr>
      <w:rPr>
        <w:rFonts w:ascii="Courier New" w:hAnsi="Courier New" w:hint="default"/>
      </w:rPr>
    </w:lvl>
    <w:lvl w:ilvl="5" w:tplc="98E40022" w:tentative="1">
      <w:start w:val="1"/>
      <w:numFmt w:val="bullet"/>
      <w:lvlText w:val=""/>
      <w:lvlJc w:val="left"/>
      <w:pPr>
        <w:ind w:left="5040" w:hanging="360"/>
      </w:pPr>
      <w:rPr>
        <w:rFonts w:ascii="Wingdings" w:hAnsi="Wingdings" w:hint="default"/>
      </w:rPr>
    </w:lvl>
    <w:lvl w:ilvl="6" w:tplc="85C8CA2C" w:tentative="1">
      <w:start w:val="1"/>
      <w:numFmt w:val="bullet"/>
      <w:lvlText w:val=""/>
      <w:lvlJc w:val="left"/>
      <w:pPr>
        <w:ind w:left="5760" w:hanging="360"/>
      </w:pPr>
      <w:rPr>
        <w:rFonts w:ascii="Symbol" w:hAnsi="Symbol" w:hint="default"/>
      </w:rPr>
    </w:lvl>
    <w:lvl w:ilvl="7" w:tplc="81C87CC0" w:tentative="1">
      <w:start w:val="1"/>
      <w:numFmt w:val="bullet"/>
      <w:lvlText w:val="o"/>
      <w:lvlJc w:val="left"/>
      <w:pPr>
        <w:ind w:left="6480" w:hanging="360"/>
      </w:pPr>
      <w:rPr>
        <w:rFonts w:ascii="Courier New" w:hAnsi="Courier New" w:hint="default"/>
      </w:rPr>
    </w:lvl>
    <w:lvl w:ilvl="8" w:tplc="51BAB30E" w:tentative="1">
      <w:start w:val="1"/>
      <w:numFmt w:val="bullet"/>
      <w:lvlText w:val=""/>
      <w:lvlJc w:val="left"/>
      <w:pPr>
        <w:ind w:left="7200" w:hanging="360"/>
      </w:pPr>
      <w:rPr>
        <w:rFonts w:ascii="Wingdings" w:hAnsi="Wingdings" w:hint="default"/>
      </w:rPr>
    </w:lvl>
  </w:abstractNum>
  <w:abstractNum w:abstractNumId="1" w15:restartNumberingAfterBreak="0">
    <w:nsid w:val="30AA1753"/>
    <w:multiLevelType w:val="hybridMultilevel"/>
    <w:tmpl w:val="F0267530"/>
    <w:lvl w:ilvl="0" w:tplc="C57EF0FA">
      <w:start w:val="1"/>
      <w:numFmt w:val="bullet"/>
      <w:lvlText w:val=""/>
      <w:lvlJc w:val="left"/>
      <w:pPr>
        <w:ind w:left="1440" w:hanging="360"/>
      </w:pPr>
      <w:rPr>
        <w:rFonts w:ascii="Symbol" w:hAnsi="Symbol" w:hint="default"/>
      </w:rPr>
    </w:lvl>
    <w:lvl w:ilvl="1" w:tplc="466042CC" w:tentative="1">
      <w:start w:val="1"/>
      <w:numFmt w:val="bullet"/>
      <w:lvlText w:val="o"/>
      <w:lvlJc w:val="left"/>
      <w:pPr>
        <w:ind w:left="2160" w:hanging="360"/>
      </w:pPr>
      <w:rPr>
        <w:rFonts w:ascii="Courier New" w:hAnsi="Courier New" w:hint="default"/>
      </w:rPr>
    </w:lvl>
    <w:lvl w:ilvl="2" w:tplc="1B001218" w:tentative="1">
      <w:start w:val="1"/>
      <w:numFmt w:val="bullet"/>
      <w:lvlText w:val=""/>
      <w:lvlJc w:val="left"/>
      <w:pPr>
        <w:ind w:left="2880" w:hanging="360"/>
      </w:pPr>
      <w:rPr>
        <w:rFonts w:ascii="Wingdings" w:hAnsi="Wingdings" w:hint="default"/>
      </w:rPr>
    </w:lvl>
    <w:lvl w:ilvl="3" w:tplc="7FDA3684" w:tentative="1">
      <w:start w:val="1"/>
      <w:numFmt w:val="bullet"/>
      <w:lvlText w:val=""/>
      <w:lvlJc w:val="left"/>
      <w:pPr>
        <w:ind w:left="3600" w:hanging="360"/>
      </w:pPr>
      <w:rPr>
        <w:rFonts w:ascii="Symbol" w:hAnsi="Symbol" w:hint="default"/>
      </w:rPr>
    </w:lvl>
    <w:lvl w:ilvl="4" w:tplc="B1F480DA" w:tentative="1">
      <w:start w:val="1"/>
      <w:numFmt w:val="bullet"/>
      <w:lvlText w:val="o"/>
      <w:lvlJc w:val="left"/>
      <w:pPr>
        <w:ind w:left="4320" w:hanging="360"/>
      </w:pPr>
      <w:rPr>
        <w:rFonts w:ascii="Courier New" w:hAnsi="Courier New" w:hint="default"/>
      </w:rPr>
    </w:lvl>
    <w:lvl w:ilvl="5" w:tplc="A016D7C6" w:tentative="1">
      <w:start w:val="1"/>
      <w:numFmt w:val="bullet"/>
      <w:lvlText w:val=""/>
      <w:lvlJc w:val="left"/>
      <w:pPr>
        <w:ind w:left="5040" w:hanging="360"/>
      </w:pPr>
      <w:rPr>
        <w:rFonts w:ascii="Wingdings" w:hAnsi="Wingdings" w:hint="default"/>
      </w:rPr>
    </w:lvl>
    <w:lvl w:ilvl="6" w:tplc="465CC5B2" w:tentative="1">
      <w:start w:val="1"/>
      <w:numFmt w:val="bullet"/>
      <w:lvlText w:val=""/>
      <w:lvlJc w:val="left"/>
      <w:pPr>
        <w:ind w:left="5760" w:hanging="360"/>
      </w:pPr>
      <w:rPr>
        <w:rFonts w:ascii="Symbol" w:hAnsi="Symbol" w:hint="default"/>
      </w:rPr>
    </w:lvl>
    <w:lvl w:ilvl="7" w:tplc="EBA8285E" w:tentative="1">
      <w:start w:val="1"/>
      <w:numFmt w:val="bullet"/>
      <w:lvlText w:val="o"/>
      <w:lvlJc w:val="left"/>
      <w:pPr>
        <w:ind w:left="6480" w:hanging="360"/>
      </w:pPr>
      <w:rPr>
        <w:rFonts w:ascii="Courier New" w:hAnsi="Courier New" w:hint="default"/>
      </w:rPr>
    </w:lvl>
    <w:lvl w:ilvl="8" w:tplc="12B04CD4" w:tentative="1">
      <w:start w:val="1"/>
      <w:numFmt w:val="bullet"/>
      <w:lvlText w:val=""/>
      <w:lvlJc w:val="left"/>
      <w:pPr>
        <w:ind w:left="7200" w:hanging="360"/>
      </w:pPr>
      <w:rPr>
        <w:rFonts w:ascii="Wingdings" w:hAnsi="Wingdings" w:hint="default"/>
      </w:rPr>
    </w:lvl>
  </w:abstractNum>
  <w:abstractNum w:abstractNumId="2" w15:restartNumberingAfterBreak="0">
    <w:nsid w:val="31071BF3"/>
    <w:multiLevelType w:val="hybridMultilevel"/>
    <w:tmpl w:val="21A4D5EA"/>
    <w:lvl w:ilvl="0" w:tplc="1898E1CC">
      <w:start w:val="1"/>
      <w:numFmt w:val="bullet"/>
      <w:lvlText w:val=""/>
      <w:lvlJc w:val="left"/>
      <w:pPr>
        <w:ind w:left="720" w:hanging="360"/>
      </w:pPr>
      <w:rPr>
        <w:rFonts w:ascii="Symbol" w:hAnsi="Symbol" w:hint="default"/>
      </w:rPr>
    </w:lvl>
    <w:lvl w:ilvl="1" w:tplc="0E0EA3F2" w:tentative="1">
      <w:start w:val="1"/>
      <w:numFmt w:val="bullet"/>
      <w:lvlText w:val="o"/>
      <w:lvlJc w:val="left"/>
      <w:pPr>
        <w:ind w:left="1440" w:hanging="360"/>
      </w:pPr>
      <w:rPr>
        <w:rFonts w:ascii="Courier New" w:hAnsi="Courier New" w:cs="Courier New" w:hint="default"/>
      </w:rPr>
    </w:lvl>
    <w:lvl w:ilvl="2" w:tplc="0A92ED24" w:tentative="1">
      <w:start w:val="1"/>
      <w:numFmt w:val="bullet"/>
      <w:lvlText w:val=""/>
      <w:lvlJc w:val="left"/>
      <w:pPr>
        <w:ind w:left="2160" w:hanging="360"/>
      </w:pPr>
      <w:rPr>
        <w:rFonts w:ascii="Wingdings" w:hAnsi="Wingdings" w:hint="default"/>
      </w:rPr>
    </w:lvl>
    <w:lvl w:ilvl="3" w:tplc="FFA4DB2E" w:tentative="1">
      <w:start w:val="1"/>
      <w:numFmt w:val="bullet"/>
      <w:lvlText w:val=""/>
      <w:lvlJc w:val="left"/>
      <w:pPr>
        <w:ind w:left="2880" w:hanging="360"/>
      </w:pPr>
      <w:rPr>
        <w:rFonts w:ascii="Symbol" w:hAnsi="Symbol" w:hint="default"/>
      </w:rPr>
    </w:lvl>
    <w:lvl w:ilvl="4" w:tplc="FF36743A" w:tentative="1">
      <w:start w:val="1"/>
      <w:numFmt w:val="bullet"/>
      <w:lvlText w:val="o"/>
      <w:lvlJc w:val="left"/>
      <w:pPr>
        <w:ind w:left="3600" w:hanging="360"/>
      </w:pPr>
      <w:rPr>
        <w:rFonts w:ascii="Courier New" w:hAnsi="Courier New" w:cs="Courier New" w:hint="default"/>
      </w:rPr>
    </w:lvl>
    <w:lvl w:ilvl="5" w:tplc="488A5D0C" w:tentative="1">
      <w:start w:val="1"/>
      <w:numFmt w:val="bullet"/>
      <w:lvlText w:val=""/>
      <w:lvlJc w:val="left"/>
      <w:pPr>
        <w:ind w:left="4320" w:hanging="360"/>
      </w:pPr>
      <w:rPr>
        <w:rFonts w:ascii="Wingdings" w:hAnsi="Wingdings" w:hint="default"/>
      </w:rPr>
    </w:lvl>
    <w:lvl w:ilvl="6" w:tplc="1FFA211A" w:tentative="1">
      <w:start w:val="1"/>
      <w:numFmt w:val="bullet"/>
      <w:lvlText w:val=""/>
      <w:lvlJc w:val="left"/>
      <w:pPr>
        <w:ind w:left="5040" w:hanging="360"/>
      </w:pPr>
      <w:rPr>
        <w:rFonts w:ascii="Symbol" w:hAnsi="Symbol" w:hint="default"/>
      </w:rPr>
    </w:lvl>
    <w:lvl w:ilvl="7" w:tplc="3A3C997A" w:tentative="1">
      <w:start w:val="1"/>
      <w:numFmt w:val="bullet"/>
      <w:lvlText w:val="o"/>
      <w:lvlJc w:val="left"/>
      <w:pPr>
        <w:ind w:left="5760" w:hanging="360"/>
      </w:pPr>
      <w:rPr>
        <w:rFonts w:ascii="Courier New" w:hAnsi="Courier New" w:cs="Courier New" w:hint="default"/>
      </w:rPr>
    </w:lvl>
    <w:lvl w:ilvl="8" w:tplc="4C42F07A" w:tentative="1">
      <w:start w:val="1"/>
      <w:numFmt w:val="bullet"/>
      <w:lvlText w:val=""/>
      <w:lvlJc w:val="left"/>
      <w:pPr>
        <w:ind w:left="6480" w:hanging="360"/>
      </w:pPr>
      <w:rPr>
        <w:rFonts w:ascii="Wingdings" w:hAnsi="Wingdings" w:hint="default"/>
      </w:rPr>
    </w:lvl>
  </w:abstractNum>
  <w:abstractNum w:abstractNumId="3" w15:restartNumberingAfterBreak="0">
    <w:nsid w:val="423934D7"/>
    <w:multiLevelType w:val="hybridMultilevel"/>
    <w:tmpl w:val="714CD19A"/>
    <w:lvl w:ilvl="0" w:tplc="F17E0D4E">
      <w:start w:val="1"/>
      <w:numFmt w:val="decimal"/>
      <w:lvlText w:val="%1."/>
      <w:lvlJc w:val="left"/>
      <w:pPr>
        <w:ind w:left="720" w:hanging="360"/>
      </w:pPr>
      <w:rPr>
        <w:rFonts w:hint="default"/>
      </w:rPr>
    </w:lvl>
    <w:lvl w:ilvl="1" w:tplc="DF6CF1FC" w:tentative="1">
      <w:start w:val="1"/>
      <w:numFmt w:val="lowerLetter"/>
      <w:lvlText w:val="%2."/>
      <w:lvlJc w:val="left"/>
      <w:pPr>
        <w:ind w:left="1440" w:hanging="360"/>
      </w:pPr>
    </w:lvl>
    <w:lvl w:ilvl="2" w:tplc="DC2893F6" w:tentative="1">
      <w:start w:val="1"/>
      <w:numFmt w:val="lowerRoman"/>
      <w:lvlText w:val="%3."/>
      <w:lvlJc w:val="right"/>
      <w:pPr>
        <w:ind w:left="2160" w:hanging="180"/>
      </w:pPr>
    </w:lvl>
    <w:lvl w:ilvl="3" w:tplc="C72EC54A" w:tentative="1">
      <w:start w:val="1"/>
      <w:numFmt w:val="decimal"/>
      <w:lvlText w:val="%4."/>
      <w:lvlJc w:val="left"/>
      <w:pPr>
        <w:ind w:left="2880" w:hanging="360"/>
      </w:pPr>
    </w:lvl>
    <w:lvl w:ilvl="4" w:tplc="245641CA" w:tentative="1">
      <w:start w:val="1"/>
      <w:numFmt w:val="lowerLetter"/>
      <w:lvlText w:val="%5."/>
      <w:lvlJc w:val="left"/>
      <w:pPr>
        <w:ind w:left="3600" w:hanging="360"/>
      </w:pPr>
    </w:lvl>
    <w:lvl w:ilvl="5" w:tplc="30A8FA96" w:tentative="1">
      <w:start w:val="1"/>
      <w:numFmt w:val="lowerRoman"/>
      <w:lvlText w:val="%6."/>
      <w:lvlJc w:val="right"/>
      <w:pPr>
        <w:ind w:left="4320" w:hanging="180"/>
      </w:pPr>
    </w:lvl>
    <w:lvl w:ilvl="6" w:tplc="CEFA08A6" w:tentative="1">
      <w:start w:val="1"/>
      <w:numFmt w:val="decimal"/>
      <w:lvlText w:val="%7."/>
      <w:lvlJc w:val="left"/>
      <w:pPr>
        <w:ind w:left="5040" w:hanging="360"/>
      </w:pPr>
    </w:lvl>
    <w:lvl w:ilvl="7" w:tplc="3BACC1B8" w:tentative="1">
      <w:start w:val="1"/>
      <w:numFmt w:val="lowerLetter"/>
      <w:lvlText w:val="%8."/>
      <w:lvlJc w:val="left"/>
      <w:pPr>
        <w:ind w:left="5760" w:hanging="360"/>
      </w:pPr>
    </w:lvl>
    <w:lvl w:ilvl="8" w:tplc="22EE6BDC" w:tentative="1">
      <w:start w:val="1"/>
      <w:numFmt w:val="lowerRoman"/>
      <w:lvlText w:val="%9."/>
      <w:lvlJc w:val="right"/>
      <w:pPr>
        <w:ind w:left="6480" w:hanging="180"/>
      </w:pPr>
    </w:lvl>
  </w:abstractNum>
  <w:abstractNum w:abstractNumId="4" w15:restartNumberingAfterBreak="0">
    <w:nsid w:val="4D0D42DA"/>
    <w:multiLevelType w:val="hybridMultilevel"/>
    <w:tmpl w:val="B58EA71C"/>
    <w:lvl w:ilvl="0" w:tplc="0BFC049C">
      <w:start w:val="1"/>
      <w:numFmt w:val="bullet"/>
      <w:lvlText w:val=""/>
      <w:lvlJc w:val="left"/>
      <w:pPr>
        <w:ind w:left="1440" w:hanging="360"/>
      </w:pPr>
      <w:rPr>
        <w:rFonts w:ascii="Symbol" w:hAnsi="Symbol" w:hint="default"/>
      </w:rPr>
    </w:lvl>
    <w:lvl w:ilvl="1" w:tplc="20244568" w:tentative="1">
      <w:start w:val="1"/>
      <w:numFmt w:val="bullet"/>
      <w:lvlText w:val="o"/>
      <w:lvlJc w:val="left"/>
      <w:pPr>
        <w:ind w:left="2160" w:hanging="360"/>
      </w:pPr>
      <w:rPr>
        <w:rFonts w:ascii="Courier New" w:hAnsi="Courier New" w:hint="default"/>
      </w:rPr>
    </w:lvl>
    <w:lvl w:ilvl="2" w:tplc="22BC0D38" w:tentative="1">
      <w:start w:val="1"/>
      <w:numFmt w:val="bullet"/>
      <w:lvlText w:val=""/>
      <w:lvlJc w:val="left"/>
      <w:pPr>
        <w:ind w:left="2880" w:hanging="360"/>
      </w:pPr>
      <w:rPr>
        <w:rFonts w:ascii="Wingdings" w:hAnsi="Wingdings" w:hint="default"/>
      </w:rPr>
    </w:lvl>
    <w:lvl w:ilvl="3" w:tplc="6088C5E6" w:tentative="1">
      <w:start w:val="1"/>
      <w:numFmt w:val="bullet"/>
      <w:lvlText w:val=""/>
      <w:lvlJc w:val="left"/>
      <w:pPr>
        <w:ind w:left="3600" w:hanging="360"/>
      </w:pPr>
      <w:rPr>
        <w:rFonts w:ascii="Symbol" w:hAnsi="Symbol" w:hint="default"/>
      </w:rPr>
    </w:lvl>
    <w:lvl w:ilvl="4" w:tplc="8FC28A50" w:tentative="1">
      <w:start w:val="1"/>
      <w:numFmt w:val="bullet"/>
      <w:lvlText w:val="o"/>
      <w:lvlJc w:val="left"/>
      <w:pPr>
        <w:ind w:left="4320" w:hanging="360"/>
      </w:pPr>
      <w:rPr>
        <w:rFonts w:ascii="Courier New" w:hAnsi="Courier New" w:hint="default"/>
      </w:rPr>
    </w:lvl>
    <w:lvl w:ilvl="5" w:tplc="B7AE32D8" w:tentative="1">
      <w:start w:val="1"/>
      <w:numFmt w:val="bullet"/>
      <w:lvlText w:val=""/>
      <w:lvlJc w:val="left"/>
      <w:pPr>
        <w:ind w:left="5040" w:hanging="360"/>
      </w:pPr>
      <w:rPr>
        <w:rFonts w:ascii="Wingdings" w:hAnsi="Wingdings" w:hint="default"/>
      </w:rPr>
    </w:lvl>
    <w:lvl w:ilvl="6" w:tplc="11124F30" w:tentative="1">
      <w:start w:val="1"/>
      <w:numFmt w:val="bullet"/>
      <w:lvlText w:val=""/>
      <w:lvlJc w:val="left"/>
      <w:pPr>
        <w:ind w:left="5760" w:hanging="360"/>
      </w:pPr>
      <w:rPr>
        <w:rFonts w:ascii="Symbol" w:hAnsi="Symbol" w:hint="default"/>
      </w:rPr>
    </w:lvl>
    <w:lvl w:ilvl="7" w:tplc="7EDC315C" w:tentative="1">
      <w:start w:val="1"/>
      <w:numFmt w:val="bullet"/>
      <w:lvlText w:val="o"/>
      <w:lvlJc w:val="left"/>
      <w:pPr>
        <w:ind w:left="6480" w:hanging="360"/>
      </w:pPr>
      <w:rPr>
        <w:rFonts w:ascii="Courier New" w:hAnsi="Courier New" w:hint="default"/>
      </w:rPr>
    </w:lvl>
    <w:lvl w:ilvl="8" w:tplc="177C73CE" w:tentative="1">
      <w:start w:val="1"/>
      <w:numFmt w:val="bullet"/>
      <w:lvlText w:val=""/>
      <w:lvlJc w:val="left"/>
      <w:pPr>
        <w:ind w:left="7200" w:hanging="360"/>
      </w:pPr>
      <w:rPr>
        <w:rFonts w:ascii="Wingdings" w:hAnsi="Wingdings" w:hint="default"/>
      </w:rPr>
    </w:lvl>
  </w:abstractNum>
  <w:abstractNum w:abstractNumId="5" w15:restartNumberingAfterBreak="0">
    <w:nsid w:val="6ADB1809"/>
    <w:multiLevelType w:val="hybridMultilevel"/>
    <w:tmpl w:val="21C038F0"/>
    <w:lvl w:ilvl="0" w:tplc="4CD4B4B2">
      <w:start w:val="1"/>
      <w:numFmt w:val="upperRoman"/>
      <w:lvlText w:val="%1."/>
      <w:lvlJc w:val="left"/>
      <w:pPr>
        <w:ind w:left="1080" w:hanging="720"/>
      </w:pPr>
      <w:rPr>
        <w:rFonts w:hint="default"/>
      </w:rPr>
    </w:lvl>
    <w:lvl w:ilvl="1" w:tplc="99F4BB7E" w:tentative="1">
      <w:start w:val="1"/>
      <w:numFmt w:val="lowerLetter"/>
      <w:lvlText w:val="%2."/>
      <w:lvlJc w:val="left"/>
      <w:pPr>
        <w:ind w:left="1440" w:hanging="360"/>
      </w:pPr>
    </w:lvl>
    <w:lvl w:ilvl="2" w:tplc="6B6EB1D4" w:tentative="1">
      <w:start w:val="1"/>
      <w:numFmt w:val="lowerRoman"/>
      <w:lvlText w:val="%3."/>
      <w:lvlJc w:val="right"/>
      <w:pPr>
        <w:ind w:left="2160" w:hanging="180"/>
      </w:pPr>
    </w:lvl>
    <w:lvl w:ilvl="3" w:tplc="C2167C2E" w:tentative="1">
      <w:start w:val="1"/>
      <w:numFmt w:val="decimal"/>
      <w:lvlText w:val="%4."/>
      <w:lvlJc w:val="left"/>
      <w:pPr>
        <w:ind w:left="2880" w:hanging="360"/>
      </w:pPr>
    </w:lvl>
    <w:lvl w:ilvl="4" w:tplc="862254B2" w:tentative="1">
      <w:start w:val="1"/>
      <w:numFmt w:val="lowerLetter"/>
      <w:lvlText w:val="%5."/>
      <w:lvlJc w:val="left"/>
      <w:pPr>
        <w:ind w:left="3600" w:hanging="360"/>
      </w:pPr>
    </w:lvl>
    <w:lvl w:ilvl="5" w:tplc="C756D372" w:tentative="1">
      <w:start w:val="1"/>
      <w:numFmt w:val="lowerRoman"/>
      <w:lvlText w:val="%6."/>
      <w:lvlJc w:val="right"/>
      <w:pPr>
        <w:ind w:left="4320" w:hanging="180"/>
      </w:pPr>
    </w:lvl>
    <w:lvl w:ilvl="6" w:tplc="58F64922" w:tentative="1">
      <w:start w:val="1"/>
      <w:numFmt w:val="decimal"/>
      <w:lvlText w:val="%7."/>
      <w:lvlJc w:val="left"/>
      <w:pPr>
        <w:ind w:left="5040" w:hanging="360"/>
      </w:pPr>
    </w:lvl>
    <w:lvl w:ilvl="7" w:tplc="33467800" w:tentative="1">
      <w:start w:val="1"/>
      <w:numFmt w:val="lowerLetter"/>
      <w:lvlText w:val="%8."/>
      <w:lvlJc w:val="left"/>
      <w:pPr>
        <w:ind w:left="5760" w:hanging="360"/>
      </w:pPr>
    </w:lvl>
    <w:lvl w:ilvl="8" w:tplc="FFC4BDBE" w:tentative="1">
      <w:start w:val="1"/>
      <w:numFmt w:val="lowerRoman"/>
      <w:lvlText w:val="%9."/>
      <w:lvlJc w:val="right"/>
      <w:pPr>
        <w:ind w:left="6480" w:hanging="180"/>
      </w:pPr>
    </w:lvl>
  </w:abstractNum>
  <w:abstractNum w:abstractNumId="6" w15:restartNumberingAfterBreak="0">
    <w:nsid w:val="708D1608"/>
    <w:multiLevelType w:val="hybridMultilevel"/>
    <w:tmpl w:val="A9385298"/>
    <w:lvl w:ilvl="0" w:tplc="3514BA08">
      <w:start w:val="1"/>
      <w:numFmt w:val="bullet"/>
      <w:lvlText w:val=""/>
      <w:lvlJc w:val="left"/>
      <w:pPr>
        <w:ind w:left="1484" w:hanging="360"/>
      </w:pPr>
      <w:rPr>
        <w:rFonts w:ascii="Symbol" w:hAnsi="Symbol" w:hint="default"/>
      </w:rPr>
    </w:lvl>
    <w:lvl w:ilvl="1" w:tplc="342E2D52" w:tentative="1">
      <w:start w:val="1"/>
      <w:numFmt w:val="bullet"/>
      <w:lvlText w:val="o"/>
      <w:lvlJc w:val="left"/>
      <w:pPr>
        <w:ind w:left="2204" w:hanging="360"/>
      </w:pPr>
      <w:rPr>
        <w:rFonts w:ascii="Courier New" w:hAnsi="Courier New" w:cs="Courier New" w:hint="default"/>
      </w:rPr>
    </w:lvl>
    <w:lvl w:ilvl="2" w:tplc="244AA936" w:tentative="1">
      <w:start w:val="1"/>
      <w:numFmt w:val="bullet"/>
      <w:lvlText w:val=""/>
      <w:lvlJc w:val="left"/>
      <w:pPr>
        <w:ind w:left="2924" w:hanging="360"/>
      </w:pPr>
      <w:rPr>
        <w:rFonts w:ascii="Wingdings" w:hAnsi="Wingdings" w:hint="default"/>
      </w:rPr>
    </w:lvl>
    <w:lvl w:ilvl="3" w:tplc="1EAC2DF8" w:tentative="1">
      <w:start w:val="1"/>
      <w:numFmt w:val="bullet"/>
      <w:lvlText w:val=""/>
      <w:lvlJc w:val="left"/>
      <w:pPr>
        <w:ind w:left="3644" w:hanging="360"/>
      </w:pPr>
      <w:rPr>
        <w:rFonts w:ascii="Symbol" w:hAnsi="Symbol" w:hint="default"/>
      </w:rPr>
    </w:lvl>
    <w:lvl w:ilvl="4" w:tplc="FB74303A" w:tentative="1">
      <w:start w:val="1"/>
      <w:numFmt w:val="bullet"/>
      <w:lvlText w:val="o"/>
      <w:lvlJc w:val="left"/>
      <w:pPr>
        <w:ind w:left="4364" w:hanging="360"/>
      </w:pPr>
      <w:rPr>
        <w:rFonts w:ascii="Courier New" w:hAnsi="Courier New" w:cs="Courier New" w:hint="default"/>
      </w:rPr>
    </w:lvl>
    <w:lvl w:ilvl="5" w:tplc="840AE768" w:tentative="1">
      <w:start w:val="1"/>
      <w:numFmt w:val="bullet"/>
      <w:lvlText w:val=""/>
      <w:lvlJc w:val="left"/>
      <w:pPr>
        <w:ind w:left="5084" w:hanging="360"/>
      </w:pPr>
      <w:rPr>
        <w:rFonts w:ascii="Wingdings" w:hAnsi="Wingdings" w:hint="default"/>
      </w:rPr>
    </w:lvl>
    <w:lvl w:ilvl="6" w:tplc="439AF2C2" w:tentative="1">
      <w:start w:val="1"/>
      <w:numFmt w:val="bullet"/>
      <w:lvlText w:val=""/>
      <w:lvlJc w:val="left"/>
      <w:pPr>
        <w:ind w:left="5804" w:hanging="360"/>
      </w:pPr>
      <w:rPr>
        <w:rFonts w:ascii="Symbol" w:hAnsi="Symbol" w:hint="default"/>
      </w:rPr>
    </w:lvl>
    <w:lvl w:ilvl="7" w:tplc="C420A168" w:tentative="1">
      <w:start w:val="1"/>
      <w:numFmt w:val="bullet"/>
      <w:lvlText w:val="o"/>
      <w:lvlJc w:val="left"/>
      <w:pPr>
        <w:ind w:left="6524" w:hanging="360"/>
      </w:pPr>
      <w:rPr>
        <w:rFonts w:ascii="Courier New" w:hAnsi="Courier New" w:cs="Courier New" w:hint="default"/>
      </w:rPr>
    </w:lvl>
    <w:lvl w:ilvl="8" w:tplc="842AB950" w:tentative="1">
      <w:start w:val="1"/>
      <w:numFmt w:val="bullet"/>
      <w:lvlText w:val=""/>
      <w:lvlJc w:val="left"/>
      <w:pPr>
        <w:ind w:left="7244" w:hanging="360"/>
      </w:pPr>
      <w:rPr>
        <w:rFonts w:ascii="Wingdings" w:hAnsi="Wingdings" w:hint="default"/>
      </w:rPr>
    </w:lvl>
  </w:abstractNum>
  <w:abstractNum w:abstractNumId="7" w15:restartNumberingAfterBreak="0">
    <w:nsid w:val="7B5252B4"/>
    <w:multiLevelType w:val="hybridMultilevel"/>
    <w:tmpl w:val="2F58CD1E"/>
    <w:lvl w:ilvl="0" w:tplc="9A7AD206">
      <w:start w:val="1"/>
      <w:numFmt w:val="bullet"/>
      <w:lvlText w:val=""/>
      <w:lvlJc w:val="left"/>
      <w:pPr>
        <w:ind w:left="720" w:hanging="360"/>
      </w:pPr>
      <w:rPr>
        <w:rFonts w:ascii="Symbol" w:hAnsi="Symbol" w:hint="default"/>
      </w:rPr>
    </w:lvl>
    <w:lvl w:ilvl="1" w:tplc="E2346512" w:tentative="1">
      <w:start w:val="1"/>
      <w:numFmt w:val="bullet"/>
      <w:lvlText w:val="o"/>
      <w:lvlJc w:val="left"/>
      <w:pPr>
        <w:ind w:left="1440" w:hanging="360"/>
      </w:pPr>
      <w:rPr>
        <w:rFonts w:ascii="Courier New" w:hAnsi="Courier New" w:cs="Courier New" w:hint="default"/>
      </w:rPr>
    </w:lvl>
    <w:lvl w:ilvl="2" w:tplc="D99821DC" w:tentative="1">
      <w:start w:val="1"/>
      <w:numFmt w:val="bullet"/>
      <w:lvlText w:val=""/>
      <w:lvlJc w:val="left"/>
      <w:pPr>
        <w:ind w:left="2160" w:hanging="360"/>
      </w:pPr>
      <w:rPr>
        <w:rFonts w:ascii="Wingdings" w:hAnsi="Wingdings" w:hint="default"/>
      </w:rPr>
    </w:lvl>
    <w:lvl w:ilvl="3" w:tplc="7D8E4856" w:tentative="1">
      <w:start w:val="1"/>
      <w:numFmt w:val="bullet"/>
      <w:lvlText w:val=""/>
      <w:lvlJc w:val="left"/>
      <w:pPr>
        <w:ind w:left="2880" w:hanging="360"/>
      </w:pPr>
      <w:rPr>
        <w:rFonts w:ascii="Symbol" w:hAnsi="Symbol" w:hint="default"/>
      </w:rPr>
    </w:lvl>
    <w:lvl w:ilvl="4" w:tplc="8E2E1412" w:tentative="1">
      <w:start w:val="1"/>
      <w:numFmt w:val="bullet"/>
      <w:lvlText w:val="o"/>
      <w:lvlJc w:val="left"/>
      <w:pPr>
        <w:ind w:left="3600" w:hanging="360"/>
      </w:pPr>
      <w:rPr>
        <w:rFonts w:ascii="Courier New" w:hAnsi="Courier New" w:cs="Courier New" w:hint="default"/>
      </w:rPr>
    </w:lvl>
    <w:lvl w:ilvl="5" w:tplc="76C00410" w:tentative="1">
      <w:start w:val="1"/>
      <w:numFmt w:val="bullet"/>
      <w:lvlText w:val=""/>
      <w:lvlJc w:val="left"/>
      <w:pPr>
        <w:ind w:left="4320" w:hanging="360"/>
      </w:pPr>
      <w:rPr>
        <w:rFonts w:ascii="Wingdings" w:hAnsi="Wingdings" w:hint="default"/>
      </w:rPr>
    </w:lvl>
    <w:lvl w:ilvl="6" w:tplc="2C6ED7C4" w:tentative="1">
      <w:start w:val="1"/>
      <w:numFmt w:val="bullet"/>
      <w:lvlText w:val=""/>
      <w:lvlJc w:val="left"/>
      <w:pPr>
        <w:ind w:left="5040" w:hanging="360"/>
      </w:pPr>
      <w:rPr>
        <w:rFonts w:ascii="Symbol" w:hAnsi="Symbol" w:hint="default"/>
      </w:rPr>
    </w:lvl>
    <w:lvl w:ilvl="7" w:tplc="003A0726" w:tentative="1">
      <w:start w:val="1"/>
      <w:numFmt w:val="bullet"/>
      <w:lvlText w:val="o"/>
      <w:lvlJc w:val="left"/>
      <w:pPr>
        <w:ind w:left="5760" w:hanging="360"/>
      </w:pPr>
      <w:rPr>
        <w:rFonts w:ascii="Courier New" w:hAnsi="Courier New" w:cs="Courier New" w:hint="default"/>
      </w:rPr>
    </w:lvl>
    <w:lvl w:ilvl="8" w:tplc="9FEE1E66" w:tentative="1">
      <w:start w:val="1"/>
      <w:numFmt w:val="bullet"/>
      <w:lvlText w:val=""/>
      <w:lvlJc w:val="left"/>
      <w:pPr>
        <w:ind w:left="6480" w:hanging="360"/>
      </w:pPr>
      <w:rPr>
        <w:rFonts w:ascii="Wingdings" w:hAnsi="Wingdings" w:hint="default"/>
      </w:rPr>
    </w:lvl>
  </w:abstractNum>
  <w:num w:numId="1" w16cid:durableId="873077069">
    <w:abstractNumId w:val="7"/>
  </w:num>
  <w:num w:numId="2" w16cid:durableId="1631279627">
    <w:abstractNumId w:val="2"/>
  </w:num>
  <w:num w:numId="3" w16cid:durableId="282273977">
    <w:abstractNumId w:val="3"/>
  </w:num>
  <w:num w:numId="4" w16cid:durableId="834104237">
    <w:abstractNumId w:val="6"/>
  </w:num>
  <w:num w:numId="5" w16cid:durableId="362707878">
    <w:abstractNumId w:val="4"/>
  </w:num>
  <w:num w:numId="6" w16cid:durableId="177355922">
    <w:abstractNumId w:val="1"/>
  </w:num>
  <w:num w:numId="7" w16cid:durableId="102501838">
    <w:abstractNumId w:val="0"/>
  </w:num>
  <w:num w:numId="8" w16cid:durableId="20953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00"/>
    <w:rsid w:val="000161DD"/>
    <w:rsid w:val="0002544E"/>
    <w:rsid w:val="000826A3"/>
    <w:rsid w:val="000B76E2"/>
    <w:rsid w:val="001F4DDC"/>
    <w:rsid w:val="00291F49"/>
    <w:rsid w:val="002946EA"/>
    <w:rsid w:val="002E00A5"/>
    <w:rsid w:val="002F5880"/>
    <w:rsid w:val="003342EA"/>
    <w:rsid w:val="00404264"/>
    <w:rsid w:val="005B04A5"/>
    <w:rsid w:val="005B5E0F"/>
    <w:rsid w:val="006B4454"/>
    <w:rsid w:val="00702C12"/>
    <w:rsid w:val="00712938"/>
    <w:rsid w:val="00812B0D"/>
    <w:rsid w:val="0082569B"/>
    <w:rsid w:val="00860F40"/>
    <w:rsid w:val="009C774C"/>
    <w:rsid w:val="009E1F98"/>
    <w:rsid w:val="009E38E6"/>
    <w:rsid w:val="009F5383"/>
    <w:rsid w:val="00A72200"/>
    <w:rsid w:val="00BD1F2A"/>
    <w:rsid w:val="00C726C7"/>
    <w:rsid w:val="00CD7D9F"/>
    <w:rsid w:val="00D2363C"/>
    <w:rsid w:val="00E11D35"/>
    <w:rsid w:val="00FB3F14"/>
    <w:rsid w:val="00FF1A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F05E"/>
  <w15:docId w15:val="{3E3FAFAF-8A20-E34C-9541-4E3112C5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58265A"/>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58265A"/>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58265A"/>
    <w:rPr>
      <w:vertAlign w:val="superscript"/>
    </w:rPr>
  </w:style>
  <w:style w:type="character" w:styleId="Hyperlink">
    <w:name w:val="Hyperlink"/>
    <w:basedOn w:val="DefaultParagraphFont"/>
    <w:uiPriority w:val="99"/>
    <w:unhideWhenUsed/>
    <w:rsid w:val="0058265A"/>
    <w:rPr>
      <w:color w:val="0000FF" w:themeColor="hyperlink"/>
      <w:u w:val="single"/>
    </w:rPr>
  </w:style>
  <w:style w:type="paragraph" w:styleId="ListParagraph">
    <w:name w:val="List Paragraph"/>
    <w:basedOn w:val="Normal"/>
    <w:uiPriority w:val="34"/>
    <w:qFormat/>
    <w:rsid w:val="0058265A"/>
    <w:pPr>
      <w:spacing w:after="160" w:line="259"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AD2CCE"/>
    <w:pPr>
      <w:tabs>
        <w:tab w:val="center" w:pos="4680"/>
        <w:tab w:val="right" w:pos="9360"/>
      </w:tabs>
      <w:spacing w:line="240" w:lineRule="auto"/>
    </w:pPr>
  </w:style>
  <w:style w:type="character" w:customStyle="1" w:styleId="HeaderChar">
    <w:name w:val="Header Char"/>
    <w:basedOn w:val="DefaultParagraphFont"/>
    <w:link w:val="Header"/>
    <w:uiPriority w:val="99"/>
    <w:rsid w:val="00AD2CCE"/>
  </w:style>
  <w:style w:type="paragraph" w:styleId="Footer">
    <w:name w:val="footer"/>
    <w:basedOn w:val="Normal"/>
    <w:link w:val="FooterChar"/>
    <w:uiPriority w:val="99"/>
    <w:unhideWhenUsed/>
    <w:rsid w:val="00AD2CCE"/>
    <w:pPr>
      <w:tabs>
        <w:tab w:val="center" w:pos="4680"/>
        <w:tab w:val="right" w:pos="9360"/>
      </w:tabs>
      <w:spacing w:line="240" w:lineRule="auto"/>
    </w:pPr>
  </w:style>
  <w:style w:type="character" w:customStyle="1" w:styleId="FooterChar">
    <w:name w:val="Footer Char"/>
    <w:basedOn w:val="DefaultParagraphFont"/>
    <w:link w:val="Footer"/>
    <w:uiPriority w:val="99"/>
    <w:rsid w:val="00AD2CCE"/>
  </w:style>
  <w:style w:type="paragraph" w:styleId="Revision">
    <w:name w:val="Revision"/>
    <w:hidden/>
    <w:uiPriority w:val="99"/>
    <w:semiHidden/>
    <w:rsid w:val="005722E5"/>
    <w:pPr>
      <w:spacing w:line="240" w:lineRule="auto"/>
    </w:pPr>
  </w:style>
  <w:style w:type="character" w:styleId="CommentReference">
    <w:name w:val="annotation reference"/>
    <w:basedOn w:val="DefaultParagraphFont"/>
    <w:uiPriority w:val="99"/>
    <w:semiHidden/>
    <w:unhideWhenUsed/>
    <w:rsid w:val="003539F3"/>
    <w:rPr>
      <w:sz w:val="16"/>
      <w:szCs w:val="16"/>
    </w:rPr>
  </w:style>
  <w:style w:type="paragraph" w:styleId="CommentText">
    <w:name w:val="annotation text"/>
    <w:basedOn w:val="Normal"/>
    <w:link w:val="CommentTextChar"/>
    <w:uiPriority w:val="99"/>
    <w:unhideWhenUsed/>
    <w:rsid w:val="003539F3"/>
    <w:pPr>
      <w:spacing w:line="240" w:lineRule="auto"/>
    </w:pPr>
    <w:rPr>
      <w:sz w:val="20"/>
      <w:szCs w:val="20"/>
    </w:rPr>
  </w:style>
  <w:style w:type="character" w:customStyle="1" w:styleId="CommentTextChar">
    <w:name w:val="Comment Text Char"/>
    <w:basedOn w:val="DefaultParagraphFont"/>
    <w:link w:val="CommentText"/>
    <w:uiPriority w:val="99"/>
    <w:rsid w:val="003539F3"/>
    <w:rPr>
      <w:sz w:val="20"/>
      <w:szCs w:val="20"/>
    </w:rPr>
  </w:style>
  <w:style w:type="paragraph" w:styleId="CommentSubject">
    <w:name w:val="annotation subject"/>
    <w:basedOn w:val="CommentText"/>
    <w:next w:val="CommentText"/>
    <w:link w:val="CommentSubjectChar"/>
    <w:uiPriority w:val="99"/>
    <w:semiHidden/>
    <w:unhideWhenUsed/>
    <w:rsid w:val="003539F3"/>
    <w:rPr>
      <w:b/>
      <w:bCs/>
    </w:rPr>
  </w:style>
  <w:style w:type="character" w:customStyle="1" w:styleId="CommentSubjectChar">
    <w:name w:val="Comment Subject Char"/>
    <w:basedOn w:val="CommentTextChar"/>
    <w:link w:val="CommentSubject"/>
    <w:uiPriority w:val="99"/>
    <w:semiHidden/>
    <w:rsid w:val="003539F3"/>
    <w:rPr>
      <w:b/>
      <w:bCs/>
      <w:sz w:val="20"/>
      <w:szCs w:val="20"/>
    </w:rPr>
  </w:style>
  <w:style w:type="character" w:customStyle="1" w:styleId="UnresolvedMention1">
    <w:name w:val="Unresolved Mention1"/>
    <w:basedOn w:val="DefaultParagraphFont"/>
    <w:uiPriority w:val="99"/>
    <w:rsid w:val="002C2FAC"/>
    <w:rPr>
      <w:color w:val="605E5C"/>
      <w:shd w:val="clear" w:color="auto" w:fill="E1DFDD"/>
    </w:rPr>
  </w:style>
  <w:style w:type="character" w:styleId="FollowedHyperlink">
    <w:name w:val="FollowedHyperlink"/>
    <w:basedOn w:val="DefaultParagraphFont"/>
    <w:uiPriority w:val="99"/>
    <w:semiHidden/>
    <w:unhideWhenUsed/>
    <w:rsid w:val="00482A32"/>
    <w:rPr>
      <w:color w:val="800080" w:themeColor="followedHyperlink"/>
      <w:u w:val="single"/>
    </w:rPr>
  </w:style>
  <w:style w:type="character" w:customStyle="1" w:styleId="UnresolvedMention2">
    <w:name w:val="Unresolved Mention2"/>
    <w:basedOn w:val="DefaultParagraphFont"/>
    <w:uiPriority w:val="99"/>
    <w:rsid w:val="00DD4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E8B7-71F3-4A8C-B672-55BCD26D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Wage Theft  Policy Paper - 4.24.23 (gp)(jrd edits).DOCX</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 Theft  Policy Paper - 4.24.23 (gp)(jrd edits).DOCX</dc:title>
  <dc:creator>Josh Diamond</dc:creator>
  <cp:lastModifiedBy>Jennifer Lannom</cp:lastModifiedBy>
  <cp:revision>2</cp:revision>
  <dcterms:created xsi:type="dcterms:W3CDTF">2024-12-02T20:34:00Z</dcterms:created>
  <dcterms:modified xsi:type="dcterms:W3CDTF">2024-12-02T20:34:00Z</dcterms:modified>
</cp:coreProperties>
</file>